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72" w:type="dxa"/>
        <w:tblInd w:w="-8" w:type="dxa"/>
        <w:tblLayout w:type="fixed"/>
        <w:tblLook w:val="0000" w:firstRow="0" w:lastRow="0" w:firstColumn="0" w:lastColumn="0" w:noHBand="0" w:noVBand="0"/>
      </w:tblPr>
      <w:tblGrid>
        <w:gridCol w:w="1993"/>
        <w:gridCol w:w="6379"/>
      </w:tblGrid>
      <w:tr w:rsidR="005823C6" w14:paraId="2DDB7389" w14:textId="77777777" w:rsidTr="00313C99">
        <w:trPr>
          <w:trHeight w:val="1985"/>
        </w:trPr>
        <w:tc>
          <w:tcPr>
            <w:tcW w:w="1993" w:type="dxa"/>
            <w:tcMar>
              <w:left w:w="0" w:type="dxa"/>
              <w:right w:w="0" w:type="dxa"/>
            </w:tcMar>
          </w:tcPr>
          <w:p w14:paraId="74595D05" w14:textId="4AC59A4F" w:rsidR="005823C6" w:rsidRPr="00B04B41" w:rsidRDefault="00313C99" w:rsidP="001A3A85">
            <w:pPr>
              <w:pStyle w:val="Title"/>
              <w:spacing w:after="0"/>
              <w:ind w:left="1" w:hanging="3"/>
            </w:pPr>
            <w:r>
              <w:rPr>
                <w:noProof/>
              </w:rPr>
              <w:drawing>
                <wp:inline distT="0" distB="0" distL="0" distR="0" wp14:anchorId="19BDA28A" wp14:editId="7914C6D6">
                  <wp:extent cx="1265555" cy="109410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65555" cy="1094105"/>
                          </a:xfrm>
                          <a:prstGeom prst="rect">
                            <a:avLst/>
                          </a:prstGeom>
                        </pic:spPr>
                      </pic:pic>
                    </a:graphicData>
                  </a:graphic>
                </wp:inline>
              </w:drawing>
            </w:r>
          </w:p>
        </w:tc>
        <w:tc>
          <w:tcPr>
            <w:tcW w:w="6379" w:type="dxa"/>
            <w:tcMar>
              <w:left w:w="0" w:type="dxa"/>
              <w:right w:w="0" w:type="dxa"/>
            </w:tcMar>
          </w:tcPr>
          <w:p w14:paraId="2352783D" w14:textId="77777777" w:rsidR="005823C6" w:rsidRPr="00B04B41" w:rsidRDefault="005823C6" w:rsidP="001A3A85">
            <w:pPr>
              <w:pStyle w:val="Title"/>
              <w:spacing w:after="0" w:line="240" w:lineRule="auto"/>
              <w:ind w:left="2" w:hanging="4"/>
            </w:pPr>
            <w:r w:rsidRPr="00B50ECC">
              <w:rPr>
                <w:b/>
                <w:sz w:val="36"/>
                <w:szCs w:val="36"/>
              </w:rPr>
              <w:t>Ca</w:t>
            </w:r>
            <w:r w:rsidRPr="00A418AA">
              <w:rPr>
                <w:b/>
                <w:sz w:val="36"/>
                <w:szCs w:val="36"/>
              </w:rPr>
              <w:t>ulfield South Primary School</w:t>
            </w:r>
          </w:p>
        </w:tc>
      </w:tr>
      <w:tr w:rsidR="005823C6" w14:paraId="38750D2B" w14:textId="77777777" w:rsidTr="001A3A85">
        <w:trPr>
          <w:trHeight w:val="167"/>
        </w:trPr>
        <w:tc>
          <w:tcPr>
            <w:tcW w:w="8372" w:type="dxa"/>
            <w:gridSpan w:val="2"/>
            <w:tcMar>
              <w:left w:w="0" w:type="dxa"/>
              <w:right w:w="0" w:type="dxa"/>
            </w:tcMar>
          </w:tcPr>
          <w:p w14:paraId="56EC0B29" w14:textId="005C87A9" w:rsidR="005823C6" w:rsidRDefault="00D52BBE" w:rsidP="001A3A85">
            <w:pPr>
              <w:pStyle w:val="Title"/>
              <w:spacing w:after="0" w:line="240" w:lineRule="auto"/>
              <w:ind w:left="1" w:hanging="3"/>
              <w:rPr>
                <w:sz w:val="28"/>
                <w:szCs w:val="28"/>
              </w:rPr>
            </w:pPr>
            <w:r w:rsidRPr="00D52BBE">
              <w:rPr>
                <w:b/>
                <w:sz w:val="28"/>
                <w:szCs w:val="28"/>
              </w:rPr>
              <w:t xml:space="preserve">Healthy </w:t>
            </w:r>
            <w:r w:rsidR="00E80149">
              <w:rPr>
                <w:b/>
                <w:sz w:val="28"/>
                <w:szCs w:val="28"/>
              </w:rPr>
              <w:t>Eating</w:t>
            </w:r>
            <w:r w:rsidRPr="00D52BBE">
              <w:rPr>
                <w:b/>
                <w:sz w:val="28"/>
                <w:szCs w:val="28"/>
              </w:rPr>
              <w:t xml:space="preserve"> and Oral Health </w:t>
            </w:r>
            <w:r w:rsidR="005823C6" w:rsidRPr="000C4082">
              <w:rPr>
                <w:b/>
                <w:sz w:val="28"/>
                <w:szCs w:val="28"/>
              </w:rPr>
              <w:t>Policy</w:t>
            </w:r>
          </w:p>
        </w:tc>
      </w:tr>
      <w:tr w:rsidR="005823C6" w14:paraId="40F0C6F6" w14:textId="77777777" w:rsidTr="00595CF4">
        <w:trPr>
          <w:trHeight w:val="80"/>
        </w:trPr>
        <w:tc>
          <w:tcPr>
            <w:tcW w:w="8372" w:type="dxa"/>
            <w:gridSpan w:val="2"/>
            <w:tcMar>
              <w:left w:w="0" w:type="dxa"/>
              <w:right w:w="0" w:type="dxa"/>
            </w:tcMar>
          </w:tcPr>
          <w:p w14:paraId="7D870C53" w14:textId="34FB20A9" w:rsidR="005823C6" w:rsidRPr="000C4082" w:rsidRDefault="004A6652" w:rsidP="004205F7">
            <w:pPr>
              <w:pStyle w:val="Heading3"/>
              <w:keepNext w:val="0"/>
              <w:keepLines w:val="0"/>
              <w:suppressAutoHyphens/>
              <w:spacing w:before="240" w:after="120" w:line="240" w:lineRule="auto"/>
              <w:ind w:left="2" w:hangingChars="1" w:hanging="2"/>
              <w:textAlignment w:val="top"/>
            </w:pPr>
            <w:r w:rsidRPr="004A6652">
              <w:rPr>
                <w:color w:val="auto"/>
                <w:position w:val="-1"/>
                <w:sz w:val="22"/>
                <w:szCs w:val="22"/>
                <w:lang w:val="en-AU"/>
              </w:rPr>
              <w:t xml:space="preserve">Last updated: </w:t>
            </w:r>
            <w:r w:rsidR="00623757">
              <w:rPr>
                <w:color w:val="auto"/>
                <w:position w:val="-1"/>
                <w:sz w:val="22"/>
                <w:szCs w:val="22"/>
                <w:lang w:val="en-AU"/>
              </w:rPr>
              <w:t>December</w:t>
            </w:r>
            <w:r w:rsidRPr="004A6652">
              <w:rPr>
                <w:color w:val="auto"/>
                <w:position w:val="-1"/>
                <w:sz w:val="22"/>
                <w:szCs w:val="22"/>
                <w:lang w:val="en-AU"/>
              </w:rPr>
              <w:t xml:space="preserve"> 2022</w:t>
            </w:r>
          </w:p>
        </w:tc>
      </w:tr>
    </w:tbl>
    <w:p w14:paraId="00000005" w14:textId="77777777" w:rsidR="00382680" w:rsidRDefault="00382680" w:rsidP="005823C6">
      <w:pPr>
        <w:rPr>
          <w:b/>
        </w:rPr>
      </w:pPr>
    </w:p>
    <w:p w14:paraId="6E167D3A" w14:textId="20DB159C" w:rsidR="00B006ED" w:rsidRPr="007654DE" w:rsidRDefault="00EF0EAD" w:rsidP="007654DE">
      <w:pPr>
        <w:pStyle w:val="ListParagraph"/>
        <w:numPr>
          <w:ilvl w:val="0"/>
          <w:numId w:val="19"/>
        </w:numPr>
        <w:rPr>
          <w:b/>
        </w:rPr>
      </w:pPr>
      <w:r w:rsidRPr="007654DE">
        <w:rPr>
          <w:b/>
        </w:rPr>
        <w:t>Rationale</w:t>
      </w:r>
      <w:r w:rsidR="00484A7F">
        <w:rPr>
          <w:b/>
        </w:rPr>
        <w:t xml:space="preserve"> </w:t>
      </w:r>
    </w:p>
    <w:p w14:paraId="1E927B4E" w14:textId="2B003F7E" w:rsidR="00EF0EAD" w:rsidRPr="00604F3A" w:rsidRDefault="00EF0EAD" w:rsidP="00604F3A">
      <w:pPr>
        <w:rPr>
          <w:bCs/>
        </w:rPr>
      </w:pPr>
      <w:r w:rsidRPr="00604F3A">
        <w:rPr>
          <w:bCs/>
        </w:rPr>
        <w:t>The Caulfield South Primary School (CSPS) community believes that schools should be healthy places. We aim to provide a</w:t>
      </w:r>
      <w:r w:rsidR="003462C7">
        <w:rPr>
          <w:bCs/>
        </w:rPr>
        <w:t>n</w:t>
      </w:r>
      <w:r w:rsidRPr="00604F3A">
        <w:rPr>
          <w:bCs/>
        </w:rPr>
        <w:t xml:space="preserve"> environment for students</w:t>
      </w:r>
      <w:r w:rsidR="00604F3A">
        <w:rPr>
          <w:bCs/>
        </w:rPr>
        <w:t xml:space="preserve">, </w:t>
      </w:r>
      <w:r w:rsidRPr="00604F3A">
        <w:rPr>
          <w:bCs/>
        </w:rPr>
        <w:t>staff</w:t>
      </w:r>
      <w:r w:rsidR="004674AD">
        <w:rPr>
          <w:bCs/>
        </w:rPr>
        <w:t>,</w:t>
      </w:r>
      <w:r w:rsidR="00604F3A">
        <w:rPr>
          <w:bCs/>
        </w:rPr>
        <w:t xml:space="preserve"> families</w:t>
      </w:r>
      <w:r w:rsidR="004674AD">
        <w:rPr>
          <w:bCs/>
        </w:rPr>
        <w:t xml:space="preserve"> and visitors</w:t>
      </w:r>
      <w:r w:rsidR="00604F3A">
        <w:rPr>
          <w:bCs/>
        </w:rPr>
        <w:t xml:space="preserve"> </w:t>
      </w:r>
      <w:r w:rsidR="00786408" w:rsidRPr="00604F3A">
        <w:rPr>
          <w:bCs/>
        </w:rPr>
        <w:t xml:space="preserve">that promotes </w:t>
      </w:r>
      <w:r w:rsidRPr="00604F3A">
        <w:rPr>
          <w:bCs/>
        </w:rPr>
        <w:t xml:space="preserve">healthy </w:t>
      </w:r>
      <w:r w:rsidR="00E80149">
        <w:rPr>
          <w:bCs/>
        </w:rPr>
        <w:t xml:space="preserve">and environmentally sustainable </w:t>
      </w:r>
      <w:r w:rsidRPr="00604F3A">
        <w:rPr>
          <w:bCs/>
        </w:rPr>
        <w:t>behaviours and attitudes</w:t>
      </w:r>
      <w:r w:rsidR="00483F6D">
        <w:rPr>
          <w:bCs/>
        </w:rPr>
        <w:t>, in an equitable way</w:t>
      </w:r>
      <w:r w:rsidR="00786408" w:rsidRPr="00604F3A">
        <w:rPr>
          <w:bCs/>
        </w:rPr>
        <w:t>.</w:t>
      </w:r>
    </w:p>
    <w:p w14:paraId="5E46B048" w14:textId="77777777" w:rsidR="00604F3A" w:rsidRDefault="00604F3A" w:rsidP="00604F3A"/>
    <w:p w14:paraId="58E5A620" w14:textId="2785E4BC" w:rsidR="00604F3A" w:rsidRDefault="00604F3A" w:rsidP="00604F3A">
      <w:r>
        <w:t xml:space="preserve">We </w:t>
      </w:r>
      <w:r w:rsidRPr="00EF0EAD">
        <w:t xml:space="preserve">acknowledge the importance of healthy eating and oral health </w:t>
      </w:r>
      <w:r w:rsidR="003462C7">
        <w:t>as a major</w:t>
      </w:r>
      <w:r w:rsidRPr="00EF0EAD">
        <w:t xml:space="preserve"> contribut</w:t>
      </w:r>
      <w:r w:rsidR="003462C7">
        <w:t>or</w:t>
      </w:r>
      <w:r w:rsidRPr="00EF0EAD">
        <w:t xml:space="preserve"> to good health and overall wellbeing. This policy confirms our commitment to:</w:t>
      </w:r>
    </w:p>
    <w:p w14:paraId="32A44A6B" w14:textId="12FE1788" w:rsidR="00604F3A" w:rsidRDefault="00604F3A" w:rsidP="00604F3A">
      <w:pPr>
        <w:pStyle w:val="ListParagraph"/>
        <w:numPr>
          <w:ilvl w:val="0"/>
          <w:numId w:val="4"/>
        </w:numPr>
      </w:pPr>
      <w:r w:rsidRPr="00EF0EAD">
        <w:t>creating a supportive environment for healthy eating and good oral health for students, staff, families and visitors</w:t>
      </w:r>
      <w:r>
        <w:t>;</w:t>
      </w:r>
    </w:p>
    <w:p w14:paraId="452A1CA1" w14:textId="51941878" w:rsidR="00604F3A" w:rsidRPr="00EF0EAD" w:rsidRDefault="00604F3A" w:rsidP="00604F3A">
      <w:pPr>
        <w:pStyle w:val="ListParagraph"/>
        <w:numPr>
          <w:ilvl w:val="0"/>
          <w:numId w:val="4"/>
        </w:numPr>
      </w:pPr>
      <w:r w:rsidRPr="00EF0EAD">
        <w:t xml:space="preserve">promoting the importance of a healthy </w:t>
      </w:r>
      <w:r w:rsidR="00E80149">
        <w:t xml:space="preserve">and environmentally sustainable </w:t>
      </w:r>
      <w:r w:rsidRPr="00EF0EAD">
        <w:t xml:space="preserve">lifestyle, which includes drinking water, eating healthy </w:t>
      </w:r>
      <w:r w:rsidR="00E80149">
        <w:t xml:space="preserve">and environmentally sustainable </w:t>
      </w:r>
      <w:r w:rsidRPr="00EF0EAD">
        <w:t>food</w:t>
      </w:r>
      <w:r w:rsidR="00D56AF6">
        <w:t>s and drinks</w:t>
      </w:r>
      <w:r w:rsidR="00E80149">
        <w:t>,</w:t>
      </w:r>
      <w:r w:rsidRPr="00EF0EAD">
        <w:t xml:space="preserve"> and maintaining oral health</w:t>
      </w:r>
      <w:r>
        <w:t>;</w:t>
      </w:r>
    </w:p>
    <w:p w14:paraId="3DE3DEFC" w14:textId="6816922C" w:rsidR="00CC23DF" w:rsidRDefault="00604F3A" w:rsidP="00604F3A">
      <w:pPr>
        <w:pStyle w:val="ListParagraph"/>
        <w:numPr>
          <w:ilvl w:val="0"/>
          <w:numId w:val="4"/>
        </w:numPr>
      </w:pPr>
      <w:r w:rsidRPr="00EF0EAD">
        <w:t xml:space="preserve">encouraging students to make healthy </w:t>
      </w:r>
      <w:r w:rsidR="00E80149">
        <w:t xml:space="preserve">and environmentally sustainable </w:t>
      </w:r>
      <w:r w:rsidRPr="00EF0EAD">
        <w:t>food and drink choices</w:t>
      </w:r>
      <w:r w:rsidR="00CC23DF">
        <w:t>;</w:t>
      </w:r>
    </w:p>
    <w:p w14:paraId="39382FD3" w14:textId="6C97ED80" w:rsidR="00484A7F" w:rsidRDefault="00CC23DF" w:rsidP="00484A7F">
      <w:pPr>
        <w:pStyle w:val="ListParagraph"/>
        <w:numPr>
          <w:ilvl w:val="0"/>
          <w:numId w:val="4"/>
        </w:numPr>
      </w:pPr>
      <w:r w:rsidRPr="00EF0EAD">
        <w:t>developing community links and partnerships</w:t>
      </w:r>
      <w:r>
        <w:t xml:space="preserve"> that promote healthy </w:t>
      </w:r>
      <w:r w:rsidR="00E80149">
        <w:t xml:space="preserve">and environmentally sustainable </w:t>
      </w:r>
      <w:r>
        <w:t>eating and good oral health</w:t>
      </w:r>
      <w:r w:rsidR="00604F3A">
        <w:t>.</w:t>
      </w:r>
    </w:p>
    <w:p w14:paraId="1B7F2E61" w14:textId="45CE3BAE" w:rsidR="00484A7F" w:rsidRDefault="00484A7F" w:rsidP="00484A7F"/>
    <w:p w14:paraId="18E84650" w14:textId="21EC9D37" w:rsidR="00B22ACA" w:rsidRDefault="00B22ACA" w:rsidP="00484A7F">
      <w:r>
        <w:t xml:space="preserve">The </w:t>
      </w:r>
      <w:r w:rsidR="004205F7">
        <w:t xml:space="preserve">development and </w:t>
      </w:r>
      <w:r>
        <w:t xml:space="preserve">implementation of this policy forms part of CSPS’ participation in the </w:t>
      </w:r>
      <w:r>
        <w:rPr>
          <w:color w:val="222222"/>
          <w:shd w:val="clear" w:color="auto" w:fill="FFFFFF"/>
        </w:rPr>
        <w:t xml:space="preserve">Victorian Government's </w:t>
      </w:r>
      <w:hyperlink r:id="rId12" w:history="1">
        <w:r w:rsidRPr="00B22ACA">
          <w:rPr>
            <w:rStyle w:val="Hyperlink"/>
            <w:shd w:val="clear" w:color="auto" w:fill="FFFFFF"/>
          </w:rPr>
          <w:t>Healthy Schools Achievement Program</w:t>
        </w:r>
      </w:hyperlink>
      <w:r>
        <w:rPr>
          <w:color w:val="222222"/>
          <w:shd w:val="clear" w:color="auto" w:fill="FFFFFF"/>
        </w:rPr>
        <w:t xml:space="preserve"> and </w:t>
      </w:r>
      <w:hyperlink r:id="rId13" w:history="1">
        <w:r w:rsidRPr="004205F7">
          <w:rPr>
            <w:rStyle w:val="Hyperlink"/>
            <w:shd w:val="clear" w:color="auto" w:fill="FFFFFF"/>
          </w:rPr>
          <w:t>Vic Kids Eat Well</w:t>
        </w:r>
      </w:hyperlink>
      <w:r>
        <w:rPr>
          <w:color w:val="222222"/>
          <w:shd w:val="clear" w:color="auto" w:fill="FFFFFF"/>
        </w:rPr>
        <w:t xml:space="preserve"> initiative</w:t>
      </w:r>
      <w:r w:rsidR="004205F7">
        <w:rPr>
          <w:color w:val="222222"/>
          <w:shd w:val="clear" w:color="auto" w:fill="FFFFFF"/>
        </w:rPr>
        <w:t>.</w:t>
      </w:r>
    </w:p>
    <w:p w14:paraId="33A1AD36" w14:textId="77777777" w:rsidR="00B22ACA" w:rsidRDefault="00B22ACA" w:rsidP="00484A7F"/>
    <w:p w14:paraId="0745A902" w14:textId="274FEE1C" w:rsidR="00B22ACA" w:rsidRPr="00B22ACA" w:rsidRDefault="00B22ACA" w:rsidP="00B22ACA">
      <w:pPr>
        <w:pStyle w:val="ListParagraph"/>
        <w:numPr>
          <w:ilvl w:val="0"/>
          <w:numId w:val="19"/>
        </w:numPr>
        <w:rPr>
          <w:b/>
        </w:rPr>
      </w:pPr>
      <w:r>
        <w:rPr>
          <w:b/>
        </w:rPr>
        <w:t>S</w:t>
      </w:r>
      <w:r w:rsidRPr="00B22ACA">
        <w:rPr>
          <w:b/>
        </w:rPr>
        <w:t>cope</w:t>
      </w:r>
    </w:p>
    <w:p w14:paraId="25C1D58C" w14:textId="77777777" w:rsidR="00484A7F" w:rsidRDefault="00484A7F" w:rsidP="00484A7F">
      <w:pPr>
        <w:rPr>
          <w:bCs/>
        </w:rPr>
      </w:pPr>
      <w:r w:rsidRPr="00484A7F">
        <w:rPr>
          <w:bCs/>
        </w:rPr>
        <w:t xml:space="preserve">This policy covers all situations where food and drinks are supplied </w:t>
      </w:r>
      <w:r>
        <w:rPr>
          <w:bCs/>
        </w:rPr>
        <w:t xml:space="preserve">and/or consumed </w:t>
      </w:r>
      <w:r w:rsidRPr="00484A7F">
        <w:rPr>
          <w:bCs/>
        </w:rPr>
        <w:t>in the school environment including:</w:t>
      </w:r>
    </w:p>
    <w:p w14:paraId="50172171" w14:textId="226ABB2D" w:rsidR="00484A7F" w:rsidRDefault="00484A7F" w:rsidP="00484A7F">
      <w:pPr>
        <w:pStyle w:val="ListParagraph"/>
        <w:numPr>
          <w:ilvl w:val="0"/>
          <w:numId w:val="27"/>
        </w:numPr>
        <w:rPr>
          <w:bCs/>
        </w:rPr>
      </w:pPr>
      <w:r>
        <w:rPr>
          <w:bCs/>
        </w:rPr>
        <w:t>foods provided from home</w:t>
      </w:r>
    </w:p>
    <w:p w14:paraId="739B7FFE" w14:textId="32523A93" w:rsidR="00484A7F" w:rsidRDefault="00484A7F" w:rsidP="00484A7F">
      <w:pPr>
        <w:pStyle w:val="ListParagraph"/>
        <w:numPr>
          <w:ilvl w:val="0"/>
          <w:numId w:val="27"/>
        </w:numPr>
        <w:rPr>
          <w:bCs/>
        </w:rPr>
      </w:pPr>
      <w:r>
        <w:rPr>
          <w:bCs/>
        </w:rPr>
        <w:t>lunch orders</w:t>
      </w:r>
    </w:p>
    <w:p w14:paraId="37EF1824" w14:textId="5C205BEC" w:rsidR="00CC4C8E" w:rsidRDefault="00CC4C8E" w:rsidP="00484A7F">
      <w:pPr>
        <w:pStyle w:val="ListParagraph"/>
        <w:numPr>
          <w:ilvl w:val="0"/>
          <w:numId w:val="27"/>
        </w:numPr>
        <w:rPr>
          <w:bCs/>
        </w:rPr>
      </w:pPr>
      <w:r w:rsidRPr="00484A7F">
        <w:rPr>
          <w:bCs/>
        </w:rPr>
        <w:t>school activities</w:t>
      </w:r>
      <w:r>
        <w:rPr>
          <w:bCs/>
        </w:rPr>
        <w:t>,</w:t>
      </w:r>
      <w:r w:rsidRPr="00484A7F">
        <w:rPr>
          <w:bCs/>
        </w:rPr>
        <w:t xml:space="preserve"> such as </w:t>
      </w:r>
      <w:r w:rsidR="00F30CA6">
        <w:rPr>
          <w:bCs/>
        </w:rPr>
        <w:t>special events and celebrations</w:t>
      </w:r>
    </w:p>
    <w:p w14:paraId="6BB09656" w14:textId="2749091B" w:rsidR="00484A7F" w:rsidRDefault="00484A7F" w:rsidP="00484A7F">
      <w:pPr>
        <w:pStyle w:val="ListParagraph"/>
        <w:numPr>
          <w:ilvl w:val="0"/>
          <w:numId w:val="27"/>
        </w:numPr>
        <w:rPr>
          <w:bCs/>
        </w:rPr>
      </w:pPr>
      <w:r w:rsidRPr="00484A7F">
        <w:rPr>
          <w:bCs/>
        </w:rPr>
        <w:t>fundraising events</w:t>
      </w:r>
    </w:p>
    <w:p w14:paraId="56494231" w14:textId="77777777" w:rsidR="00484A7F" w:rsidRDefault="00484A7F" w:rsidP="00484A7F">
      <w:pPr>
        <w:pStyle w:val="ListParagraph"/>
        <w:numPr>
          <w:ilvl w:val="0"/>
          <w:numId w:val="27"/>
        </w:numPr>
        <w:rPr>
          <w:bCs/>
        </w:rPr>
      </w:pPr>
      <w:r w:rsidRPr="00484A7F">
        <w:rPr>
          <w:bCs/>
        </w:rPr>
        <w:t>classroom rewards</w:t>
      </w:r>
    </w:p>
    <w:p w14:paraId="2769F5C3" w14:textId="63AA6355" w:rsidR="00484A7F" w:rsidRDefault="00484A7F" w:rsidP="00484A7F">
      <w:pPr>
        <w:pStyle w:val="ListParagraph"/>
        <w:numPr>
          <w:ilvl w:val="0"/>
          <w:numId w:val="27"/>
        </w:numPr>
        <w:rPr>
          <w:bCs/>
        </w:rPr>
      </w:pPr>
      <w:r w:rsidRPr="00484A7F">
        <w:rPr>
          <w:bCs/>
        </w:rPr>
        <w:t>school excursions</w:t>
      </w:r>
    </w:p>
    <w:p w14:paraId="2AEF627D" w14:textId="77777777" w:rsidR="00484A7F" w:rsidRDefault="00484A7F" w:rsidP="00484A7F">
      <w:pPr>
        <w:pStyle w:val="ListParagraph"/>
        <w:numPr>
          <w:ilvl w:val="0"/>
          <w:numId w:val="27"/>
        </w:numPr>
        <w:rPr>
          <w:bCs/>
        </w:rPr>
      </w:pPr>
      <w:r w:rsidRPr="00484A7F">
        <w:rPr>
          <w:bCs/>
        </w:rPr>
        <w:t>school camps</w:t>
      </w:r>
    </w:p>
    <w:p w14:paraId="62DB5A7E" w14:textId="2120D45B" w:rsidR="00484A7F" w:rsidRPr="00484A7F" w:rsidRDefault="00484A7F" w:rsidP="00484A7F">
      <w:pPr>
        <w:pStyle w:val="ListParagraph"/>
        <w:numPr>
          <w:ilvl w:val="0"/>
          <w:numId w:val="27"/>
        </w:numPr>
        <w:rPr>
          <w:bCs/>
        </w:rPr>
      </w:pPr>
      <w:r w:rsidRPr="00484A7F">
        <w:rPr>
          <w:bCs/>
        </w:rPr>
        <w:t>food</w:t>
      </w:r>
      <w:r w:rsidR="004674AD">
        <w:rPr>
          <w:bCs/>
        </w:rPr>
        <w:t xml:space="preserve"> and drinks</w:t>
      </w:r>
      <w:r w:rsidRPr="00484A7F">
        <w:rPr>
          <w:bCs/>
        </w:rPr>
        <w:t xml:space="preserve"> used in curriculum activities</w:t>
      </w:r>
      <w:r w:rsidR="00CC4C8E">
        <w:rPr>
          <w:bCs/>
        </w:rPr>
        <w:t>,</w:t>
      </w:r>
      <w:r w:rsidRPr="00484A7F">
        <w:rPr>
          <w:bCs/>
        </w:rPr>
        <w:t xml:space="preserve"> in the </w:t>
      </w:r>
      <w:r w:rsidR="00CC4C8E">
        <w:rPr>
          <w:bCs/>
        </w:rPr>
        <w:t>Outside School Hours Care (</w:t>
      </w:r>
      <w:r w:rsidRPr="00484A7F">
        <w:rPr>
          <w:bCs/>
        </w:rPr>
        <w:t>OS</w:t>
      </w:r>
      <w:r w:rsidR="00CC4C8E">
        <w:rPr>
          <w:bCs/>
        </w:rPr>
        <w:t>H</w:t>
      </w:r>
      <w:r w:rsidRPr="00484A7F">
        <w:rPr>
          <w:bCs/>
        </w:rPr>
        <w:t>C</w:t>
      </w:r>
      <w:r w:rsidR="00CC4C8E">
        <w:rPr>
          <w:bCs/>
        </w:rPr>
        <w:t>)</w:t>
      </w:r>
      <w:r w:rsidRPr="00484A7F">
        <w:rPr>
          <w:bCs/>
        </w:rPr>
        <w:t xml:space="preserve"> program</w:t>
      </w:r>
      <w:r w:rsidR="00CC4C8E">
        <w:rPr>
          <w:bCs/>
        </w:rPr>
        <w:t>, and other relevant activities from external providers</w:t>
      </w:r>
      <w:r w:rsidRPr="00484A7F">
        <w:rPr>
          <w:bCs/>
        </w:rPr>
        <w:t>.</w:t>
      </w:r>
    </w:p>
    <w:p w14:paraId="7B9928B9" w14:textId="4F2D5093" w:rsidR="00604F3A" w:rsidRDefault="00604F3A" w:rsidP="00604F3A">
      <w:pPr>
        <w:ind w:left="720" w:hanging="720"/>
      </w:pPr>
    </w:p>
    <w:p w14:paraId="1878F4FE" w14:textId="5D9BD30F" w:rsidR="00CC23DF" w:rsidRPr="007654DE" w:rsidRDefault="00CC23DF" w:rsidP="007654DE">
      <w:pPr>
        <w:pStyle w:val="ListParagraph"/>
        <w:numPr>
          <w:ilvl w:val="0"/>
          <w:numId w:val="19"/>
        </w:numPr>
        <w:rPr>
          <w:b/>
        </w:rPr>
      </w:pPr>
      <w:r w:rsidRPr="007654DE">
        <w:rPr>
          <w:b/>
        </w:rPr>
        <w:lastRenderedPageBreak/>
        <w:t>Health promoting school</w:t>
      </w:r>
    </w:p>
    <w:p w14:paraId="43DD5AD4" w14:textId="54A0460C" w:rsidR="00604F3A" w:rsidRDefault="00A926F0" w:rsidP="00CC23DF">
      <w:pPr>
        <w:rPr>
          <w:bCs/>
        </w:rPr>
      </w:pPr>
      <w:r>
        <w:rPr>
          <w:bCs/>
        </w:rPr>
        <w:t>The World Health Organization (WHO)</w:t>
      </w:r>
      <w:r w:rsidR="00D56AF6">
        <w:rPr>
          <w:rStyle w:val="FootnoteReference"/>
          <w:bCs/>
        </w:rPr>
        <w:footnoteReference w:id="1"/>
      </w:r>
      <w:r w:rsidR="00D56AF6">
        <w:rPr>
          <w:bCs/>
        </w:rPr>
        <w:t xml:space="preserve"> </w:t>
      </w:r>
      <w:r>
        <w:rPr>
          <w:bCs/>
        </w:rPr>
        <w:t>defines a</w:t>
      </w:r>
      <w:r w:rsidR="00604F3A" w:rsidRPr="00604F3A">
        <w:rPr>
          <w:bCs/>
        </w:rPr>
        <w:t xml:space="preserve"> </w:t>
      </w:r>
      <w:r>
        <w:rPr>
          <w:bCs/>
        </w:rPr>
        <w:t>‘</w:t>
      </w:r>
      <w:r w:rsidR="00604F3A" w:rsidRPr="00604F3A">
        <w:rPr>
          <w:bCs/>
        </w:rPr>
        <w:t>health promoting school</w:t>
      </w:r>
      <w:r>
        <w:rPr>
          <w:bCs/>
        </w:rPr>
        <w:t>’</w:t>
      </w:r>
      <w:r w:rsidR="00604F3A" w:rsidRPr="00604F3A">
        <w:rPr>
          <w:bCs/>
        </w:rPr>
        <w:t xml:space="preserve"> </w:t>
      </w:r>
      <w:r>
        <w:rPr>
          <w:bCs/>
        </w:rPr>
        <w:t>as</w:t>
      </w:r>
      <w:r w:rsidR="00604F3A" w:rsidRPr="00604F3A">
        <w:rPr>
          <w:bCs/>
        </w:rPr>
        <w:t xml:space="preserve"> one that constantly strengthens its capacity as a healthy setting for living, learning and working.</w:t>
      </w:r>
    </w:p>
    <w:p w14:paraId="242EA8C0" w14:textId="77777777" w:rsidR="00CC23DF" w:rsidRPr="002E31B8" w:rsidRDefault="00CC23DF" w:rsidP="00CC23DF">
      <w:pPr>
        <w:rPr>
          <w:bCs/>
          <w:sz w:val="12"/>
          <w:szCs w:val="12"/>
        </w:rPr>
      </w:pPr>
    </w:p>
    <w:p w14:paraId="1DF260AB" w14:textId="5703D49E" w:rsidR="00604F3A" w:rsidRPr="00604F3A" w:rsidRDefault="00CB3BC4" w:rsidP="00CC23DF">
      <w:pPr>
        <w:rPr>
          <w:bCs/>
        </w:rPr>
      </w:pPr>
      <w:r>
        <w:rPr>
          <w:bCs/>
        </w:rPr>
        <w:t xml:space="preserve">As a </w:t>
      </w:r>
      <w:r w:rsidR="00604F3A" w:rsidRPr="00604F3A">
        <w:rPr>
          <w:bCs/>
        </w:rPr>
        <w:t>health promoting school</w:t>
      </w:r>
      <w:r>
        <w:rPr>
          <w:bCs/>
        </w:rPr>
        <w:t>, CSPS</w:t>
      </w:r>
      <w:r w:rsidR="00604F3A" w:rsidRPr="00604F3A">
        <w:rPr>
          <w:bCs/>
        </w:rPr>
        <w:t>:</w:t>
      </w:r>
    </w:p>
    <w:p w14:paraId="767337F1" w14:textId="49009C79" w:rsidR="00604F3A" w:rsidRPr="00CC23DF" w:rsidRDefault="00604F3A" w:rsidP="00CC23DF">
      <w:pPr>
        <w:pStyle w:val="ListParagraph"/>
        <w:numPr>
          <w:ilvl w:val="0"/>
          <w:numId w:val="5"/>
        </w:numPr>
        <w:rPr>
          <w:bCs/>
        </w:rPr>
      </w:pPr>
      <w:r w:rsidRPr="00CC23DF">
        <w:rPr>
          <w:bCs/>
        </w:rPr>
        <w:t>Foster</w:t>
      </w:r>
      <w:r w:rsidR="005E58B8">
        <w:rPr>
          <w:bCs/>
        </w:rPr>
        <w:t>s</w:t>
      </w:r>
      <w:r w:rsidRPr="00CC23DF">
        <w:rPr>
          <w:bCs/>
        </w:rPr>
        <w:t xml:space="preserve"> health and </w:t>
      </w:r>
      <w:r w:rsidR="00A926F0">
        <w:rPr>
          <w:bCs/>
        </w:rPr>
        <w:t>wellbeing</w:t>
      </w:r>
      <w:r w:rsidRPr="00CC23DF">
        <w:rPr>
          <w:bCs/>
        </w:rPr>
        <w:t xml:space="preserve"> with all the measures at its disposal</w:t>
      </w:r>
      <w:r w:rsidR="00CB3BC4">
        <w:rPr>
          <w:bCs/>
        </w:rPr>
        <w:t>;</w:t>
      </w:r>
    </w:p>
    <w:p w14:paraId="3D35FEC1" w14:textId="377F9717" w:rsidR="00604F3A" w:rsidRDefault="00604F3A" w:rsidP="00CC23DF">
      <w:pPr>
        <w:pStyle w:val="ListParagraph"/>
        <w:numPr>
          <w:ilvl w:val="0"/>
          <w:numId w:val="5"/>
        </w:numPr>
        <w:rPr>
          <w:bCs/>
        </w:rPr>
      </w:pPr>
      <w:r w:rsidRPr="00CC23DF">
        <w:rPr>
          <w:bCs/>
        </w:rPr>
        <w:t>Engage</w:t>
      </w:r>
      <w:r w:rsidR="005E58B8">
        <w:rPr>
          <w:bCs/>
        </w:rPr>
        <w:t>s</w:t>
      </w:r>
      <w:r w:rsidRPr="00CC23DF">
        <w:rPr>
          <w:bCs/>
        </w:rPr>
        <w:t xml:space="preserve"> </w:t>
      </w:r>
      <w:r w:rsidR="00CC23DF">
        <w:rPr>
          <w:bCs/>
        </w:rPr>
        <w:t>staff</w:t>
      </w:r>
      <w:r w:rsidRPr="00CC23DF">
        <w:rPr>
          <w:bCs/>
        </w:rPr>
        <w:t xml:space="preserve">, students, </w:t>
      </w:r>
      <w:r w:rsidR="00CC23DF">
        <w:rPr>
          <w:bCs/>
        </w:rPr>
        <w:t>families and the broader community</w:t>
      </w:r>
      <w:r w:rsidRPr="00CC23DF">
        <w:rPr>
          <w:bCs/>
        </w:rPr>
        <w:t xml:space="preserve"> in efforts to make the school a healthy place</w:t>
      </w:r>
      <w:r w:rsidR="00CB3BC4">
        <w:rPr>
          <w:bCs/>
        </w:rPr>
        <w:t>;</w:t>
      </w:r>
    </w:p>
    <w:p w14:paraId="5B7B02A9" w14:textId="34D40B9F" w:rsidR="00604F3A" w:rsidRDefault="00604F3A" w:rsidP="00CC23DF">
      <w:pPr>
        <w:pStyle w:val="ListParagraph"/>
        <w:numPr>
          <w:ilvl w:val="0"/>
          <w:numId w:val="5"/>
        </w:numPr>
        <w:rPr>
          <w:bCs/>
        </w:rPr>
      </w:pPr>
      <w:r w:rsidRPr="00CC23DF">
        <w:rPr>
          <w:bCs/>
        </w:rPr>
        <w:t>Strive</w:t>
      </w:r>
      <w:r w:rsidR="005E58B8">
        <w:rPr>
          <w:bCs/>
        </w:rPr>
        <w:t>s</w:t>
      </w:r>
      <w:r w:rsidRPr="00CC23DF">
        <w:rPr>
          <w:bCs/>
        </w:rPr>
        <w:t xml:space="preserve"> to provide a healthy environment, health </w:t>
      </w:r>
      <w:r w:rsidR="00A926F0">
        <w:rPr>
          <w:bCs/>
        </w:rPr>
        <w:t xml:space="preserve">and wellbeing </w:t>
      </w:r>
      <w:r w:rsidRPr="00CC23DF">
        <w:rPr>
          <w:bCs/>
        </w:rPr>
        <w:t xml:space="preserve">education, and </w:t>
      </w:r>
      <w:r w:rsidR="00CB3BC4">
        <w:rPr>
          <w:bCs/>
        </w:rPr>
        <w:t>relevant projects and programs designed to promote health and wellbeing of the community;</w:t>
      </w:r>
    </w:p>
    <w:p w14:paraId="0CFA09D5" w14:textId="246D055F" w:rsidR="005823C6" w:rsidRPr="00CC4C8E" w:rsidRDefault="00A926F0" w:rsidP="00E26FDB">
      <w:pPr>
        <w:pStyle w:val="ListParagraph"/>
        <w:numPr>
          <w:ilvl w:val="0"/>
          <w:numId w:val="5"/>
        </w:numPr>
        <w:rPr>
          <w:b/>
        </w:rPr>
      </w:pPr>
      <w:r w:rsidRPr="00FC458A">
        <w:rPr>
          <w:bCs/>
        </w:rPr>
        <w:t>Seek</w:t>
      </w:r>
      <w:r w:rsidR="005E58B8">
        <w:rPr>
          <w:bCs/>
        </w:rPr>
        <w:t>s</w:t>
      </w:r>
      <w:r w:rsidRPr="00FC458A">
        <w:rPr>
          <w:bCs/>
        </w:rPr>
        <w:t xml:space="preserve"> to improve and maintain the health and wellbeing of staff, students and families; and work</w:t>
      </w:r>
      <w:r w:rsidR="005E58B8">
        <w:rPr>
          <w:bCs/>
        </w:rPr>
        <w:t>s</w:t>
      </w:r>
      <w:r w:rsidRPr="00FC458A">
        <w:rPr>
          <w:bCs/>
        </w:rPr>
        <w:t xml:space="preserve"> with </w:t>
      </w:r>
      <w:r w:rsidR="00CB3BC4" w:rsidRPr="00FC458A">
        <w:rPr>
          <w:bCs/>
        </w:rPr>
        <w:t xml:space="preserve">the </w:t>
      </w:r>
      <w:r w:rsidRPr="00FC458A">
        <w:rPr>
          <w:bCs/>
        </w:rPr>
        <w:t xml:space="preserve">community to help them understand how the community contributes to, or undermines, health and </w:t>
      </w:r>
      <w:r w:rsidR="00CB3BC4" w:rsidRPr="00FC458A">
        <w:rPr>
          <w:bCs/>
        </w:rPr>
        <w:t>wellbeing</w:t>
      </w:r>
      <w:r w:rsidRPr="00FC458A">
        <w:rPr>
          <w:bCs/>
        </w:rPr>
        <w:t>.</w:t>
      </w:r>
    </w:p>
    <w:p w14:paraId="2BC9EE0F" w14:textId="77777777" w:rsidR="00CC4C8E" w:rsidRPr="002E31B8" w:rsidRDefault="00CC4C8E" w:rsidP="00CC4C8E">
      <w:pPr>
        <w:pStyle w:val="ListParagraph"/>
        <w:ind w:left="360"/>
        <w:rPr>
          <w:b/>
          <w:sz w:val="18"/>
          <w:szCs w:val="18"/>
        </w:rPr>
      </w:pPr>
    </w:p>
    <w:p w14:paraId="3A572237" w14:textId="77777777" w:rsidR="00D56AF6" w:rsidRPr="007654DE" w:rsidRDefault="00D56AF6" w:rsidP="00D56AF6">
      <w:pPr>
        <w:pStyle w:val="ListParagraph"/>
        <w:numPr>
          <w:ilvl w:val="0"/>
          <w:numId w:val="19"/>
        </w:numPr>
        <w:rPr>
          <w:b/>
        </w:rPr>
      </w:pPr>
      <w:r w:rsidRPr="007654DE">
        <w:rPr>
          <w:b/>
        </w:rPr>
        <w:t>Whole school engagement</w:t>
      </w:r>
    </w:p>
    <w:p w14:paraId="3BC86349" w14:textId="0560A509" w:rsidR="00D56AF6" w:rsidRDefault="00D56AF6" w:rsidP="00D56AF6">
      <w:pPr>
        <w:rPr>
          <w:bCs/>
        </w:rPr>
      </w:pPr>
      <w:r w:rsidRPr="007654DE">
        <w:rPr>
          <w:bCs/>
        </w:rPr>
        <w:t xml:space="preserve">It is </w:t>
      </w:r>
      <w:proofErr w:type="spellStart"/>
      <w:r w:rsidRPr="007654DE">
        <w:rPr>
          <w:bCs/>
        </w:rPr>
        <w:t>recognised</w:t>
      </w:r>
      <w:proofErr w:type="spellEnd"/>
      <w:r w:rsidRPr="007654DE">
        <w:rPr>
          <w:bCs/>
        </w:rPr>
        <w:t xml:space="preserve"> that every member of </w:t>
      </w:r>
      <w:r>
        <w:rPr>
          <w:bCs/>
        </w:rPr>
        <w:t xml:space="preserve">the </w:t>
      </w:r>
      <w:r w:rsidRPr="007654DE">
        <w:rPr>
          <w:bCs/>
        </w:rPr>
        <w:t xml:space="preserve">CSPS </w:t>
      </w:r>
      <w:r>
        <w:rPr>
          <w:bCs/>
        </w:rPr>
        <w:t>community can have an</w:t>
      </w:r>
      <w:r w:rsidRPr="007654DE">
        <w:rPr>
          <w:bCs/>
        </w:rPr>
        <w:t xml:space="preserve"> impact on students’ health and can contribute to creating an environment that promotes healthy eating and good oral health. All members of our school community, including staff, students, families and volunteers, </w:t>
      </w:r>
      <w:r w:rsidR="005E58B8">
        <w:rPr>
          <w:bCs/>
        </w:rPr>
        <w:t>are</w:t>
      </w:r>
      <w:r w:rsidRPr="007654DE">
        <w:rPr>
          <w:bCs/>
        </w:rPr>
        <w:t xml:space="preserve"> supported to meet this policy.</w:t>
      </w:r>
    </w:p>
    <w:p w14:paraId="7EDB3397" w14:textId="77777777" w:rsidR="00D56AF6" w:rsidRPr="002E31B8" w:rsidRDefault="00D56AF6" w:rsidP="00FC458A">
      <w:pPr>
        <w:rPr>
          <w:b/>
          <w:sz w:val="18"/>
          <w:szCs w:val="18"/>
        </w:rPr>
      </w:pPr>
    </w:p>
    <w:p w14:paraId="4E7D5B23" w14:textId="25FEF060" w:rsidR="00B52BE6" w:rsidRPr="00B52BE6" w:rsidRDefault="00B60F15" w:rsidP="00B52BE6">
      <w:pPr>
        <w:pStyle w:val="ListParagraph"/>
        <w:numPr>
          <w:ilvl w:val="0"/>
          <w:numId w:val="19"/>
        </w:numPr>
        <w:spacing w:after="160"/>
        <w:ind w:left="357" w:hanging="357"/>
        <w:rPr>
          <w:b/>
        </w:rPr>
      </w:pPr>
      <w:r>
        <w:rPr>
          <w:b/>
        </w:rPr>
        <w:t>Importance of healthy eating and oral health</w:t>
      </w:r>
    </w:p>
    <w:p w14:paraId="6C0C027B" w14:textId="5A38C228" w:rsidR="00B52BE6" w:rsidRPr="00B52BE6" w:rsidRDefault="00B52BE6" w:rsidP="00B52BE6">
      <w:pPr>
        <w:rPr>
          <w:bCs/>
          <w:i/>
          <w:iCs/>
        </w:rPr>
      </w:pPr>
      <w:r w:rsidRPr="00B52BE6">
        <w:rPr>
          <w:bCs/>
          <w:i/>
          <w:iCs/>
        </w:rPr>
        <w:t>Healthy eating</w:t>
      </w:r>
    </w:p>
    <w:p w14:paraId="07B72BD5" w14:textId="09430B0F" w:rsidR="00D554A8" w:rsidRDefault="004E359C" w:rsidP="00D554A8">
      <w:pPr>
        <w:pStyle w:val="ListParagraph"/>
        <w:numPr>
          <w:ilvl w:val="0"/>
          <w:numId w:val="28"/>
        </w:numPr>
        <w:rPr>
          <w:bCs/>
        </w:rPr>
      </w:pPr>
      <w:r w:rsidRPr="00D554A8">
        <w:rPr>
          <w:bCs/>
        </w:rPr>
        <w:t>Healthy eating and good nutrition have a major influence on the health and wellbeing of children and young people</w:t>
      </w:r>
      <w:r w:rsidR="00B60F15" w:rsidRPr="00D554A8">
        <w:rPr>
          <w:bCs/>
        </w:rPr>
        <w:t>.</w:t>
      </w:r>
    </w:p>
    <w:p w14:paraId="7A695514" w14:textId="4E5C4F78" w:rsidR="00D554A8" w:rsidRDefault="00B60F15" w:rsidP="00D554A8">
      <w:pPr>
        <w:pStyle w:val="ListParagraph"/>
        <w:numPr>
          <w:ilvl w:val="0"/>
          <w:numId w:val="28"/>
        </w:numPr>
        <w:rPr>
          <w:bCs/>
        </w:rPr>
      </w:pPr>
      <w:r w:rsidRPr="00D554A8">
        <w:rPr>
          <w:bCs/>
        </w:rPr>
        <w:t>Healthy eating and drinking practices are associated with improved learning and concentration, better mood and behaviour, healthy growth and development, and lifelong health and wellbeing.</w:t>
      </w:r>
      <w:r w:rsidR="002E31B8">
        <w:rPr>
          <w:rStyle w:val="FootnoteReference"/>
          <w:bCs/>
        </w:rPr>
        <w:footnoteReference w:id="2"/>
      </w:r>
    </w:p>
    <w:p w14:paraId="1929828B" w14:textId="6ADF3ECD" w:rsidR="00D554A8" w:rsidRPr="00D554A8" w:rsidRDefault="00117D25" w:rsidP="00CC4C6D">
      <w:pPr>
        <w:pStyle w:val="ListParagraph"/>
        <w:numPr>
          <w:ilvl w:val="0"/>
          <w:numId w:val="28"/>
        </w:numPr>
        <w:rPr>
          <w:bCs/>
        </w:rPr>
      </w:pPr>
      <w:r>
        <w:rPr>
          <w:bCs/>
        </w:rPr>
        <w:t>P</w:t>
      </w:r>
      <w:r w:rsidR="00D554A8" w:rsidRPr="00D554A8">
        <w:rPr>
          <w:bCs/>
        </w:rPr>
        <w:t>oor dietary habits</w:t>
      </w:r>
      <w:r>
        <w:rPr>
          <w:bCs/>
        </w:rPr>
        <w:t xml:space="preserve"> </w:t>
      </w:r>
      <w:r w:rsidRPr="00D554A8">
        <w:rPr>
          <w:bCs/>
        </w:rPr>
        <w:t xml:space="preserve">are </w:t>
      </w:r>
      <w:r>
        <w:rPr>
          <w:bCs/>
        </w:rPr>
        <w:t>major contributors to poor health in Australia</w:t>
      </w:r>
      <w:r w:rsidR="00CC4C6D">
        <w:rPr>
          <w:bCs/>
        </w:rPr>
        <w:t xml:space="preserve">, and are widely </w:t>
      </w:r>
      <w:proofErr w:type="spellStart"/>
      <w:r w:rsidR="00CC4C6D">
        <w:rPr>
          <w:bCs/>
        </w:rPr>
        <w:t>recognised</w:t>
      </w:r>
      <w:proofErr w:type="spellEnd"/>
      <w:r w:rsidR="00CC4C6D">
        <w:rPr>
          <w:bCs/>
        </w:rPr>
        <w:t xml:space="preserve"> as a public health crisis</w:t>
      </w:r>
      <w:r w:rsidR="00B52BE6">
        <w:rPr>
          <w:bCs/>
        </w:rPr>
        <w:t>.</w:t>
      </w:r>
      <w:r w:rsidR="00CC4C6D">
        <w:rPr>
          <w:rStyle w:val="FootnoteReference"/>
          <w:bCs/>
        </w:rPr>
        <w:footnoteReference w:id="3"/>
      </w:r>
    </w:p>
    <w:p w14:paraId="4B8185A2" w14:textId="6DA4FB34" w:rsidR="004E359C" w:rsidRPr="00D554A8" w:rsidRDefault="004E359C" w:rsidP="00D554A8">
      <w:pPr>
        <w:pStyle w:val="ListParagraph"/>
        <w:numPr>
          <w:ilvl w:val="0"/>
          <w:numId w:val="28"/>
        </w:numPr>
        <w:rPr>
          <w:bCs/>
        </w:rPr>
      </w:pPr>
      <w:r w:rsidRPr="00D554A8">
        <w:rPr>
          <w:bCs/>
        </w:rPr>
        <w:t xml:space="preserve">Acknowledging the social and cultural role of </w:t>
      </w:r>
      <w:r w:rsidRPr="00076845">
        <w:rPr>
          <w:bCs/>
        </w:rPr>
        <w:t>food</w:t>
      </w:r>
      <w:r w:rsidRPr="00D554A8">
        <w:rPr>
          <w:bCs/>
        </w:rPr>
        <w:t>, and the wide range of attitudes to it, is important within the school environment.</w:t>
      </w:r>
    </w:p>
    <w:p w14:paraId="2CC128B2" w14:textId="3A1E290E" w:rsidR="00B52BE6" w:rsidRPr="00CC4C6D" w:rsidRDefault="00B52BE6" w:rsidP="004E359C">
      <w:pPr>
        <w:rPr>
          <w:bCs/>
          <w:sz w:val="16"/>
          <w:szCs w:val="16"/>
        </w:rPr>
      </w:pPr>
    </w:p>
    <w:p w14:paraId="3219C1AC" w14:textId="5E7B3860" w:rsidR="00B52BE6" w:rsidRPr="00B52BE6" w:rsidRDefault="00B52BE6" w:rsidP="004E359C">
      <w:pPr>
        <w:rPr>
          <w:bCs/>
          <w:i/>
          <w:iCs/>
        </w:rPr>
      </w:pPr>
      <w:r w:rsidRPr="00B52BE6">
        <w:rPr>
          <w:bCs/>
          <w:i/>
          <w:iCs/>
        </w:rPr>
        <w:t>Oral health</w:t>
      </w:r>
    </w:p>
    <w:p w14:paraId="02854BBD" w14:textId="77777777" w:rsidR="00B52BE6" w:rsidRDefault="004E359C" w:rsidP="00B52BE6">
      <w:pPr>
        <w:pStyle w:val="ListParagraph"/>
        <w:numPr>
          <w:ilvl w:val="0"/>
          <w:numId w:val="29"/>
        </w:numPr>
        <w:rPr>
          <w:bCs/>
        </w:rPr>
      </w:pPr>
      <w:r w:rsidRPr="00B52BE6">
        <w:rPr>
          <w:bCs/>
        </w:rPr>
        <w:t>Oral health is essential for the overall health and wellbeing of children and young people. Oral diseases can negatively affect individuals through pain, discomfort, and impacts on general health and quality of life.</w:t>
      </w:r>
    </w:p>
    <w:p w14:paraId="2031C35A" w14:textId="78DE4837" w:rsidR="004E359C" w:rsidRPr="00B52BE6" w:rsidRDefault="004E359C" w:rsidP="00B52BE6">
      <w:pPr>
        <w:pStyle w:val="ListParagraph"/>
        <w:numPr>
          <w:ilvl w:val="0"/>
          <w:numId w:val="29"/>
        </w:numPr>
        <w:rPr>
          <w:bCs/>
        </w:rPr>
      </w:pPr>
      <w:r w:rsidRPr="00B52BE6">
        <w:rPr>
          <w:bCs/>
        </w:rPr>
        <w:t>The main oral health condition experienced by children is tooth decay with one in four Victorian children aged 5–12 years having filled teeth. Tooth decay is Australia’s most prevalent health problem despite being almost entirely preventable.</w:t>
      </w:r>
      <w:r w:rsidRPr="007654DE">
        <w:rPr>
          <w:vertAlign w:val="superscript"/>
        </w:rPr>
        <w:footnoteReference w:id="4"/>
      </w:r>
    </w:p>
    <w:p w14:paraId="26DEFD15" w14:textId="35A9E157" w:rsidR="004E359C" w:rsidRPr="00A474A7" w:rsidRDefault="004205F7" w:rsidP="00CC4C8E">
      <w:pPr>
        <w:pStyle w:val="HTVintropara"/>
        <w:spacing w:before="120" w:after="240" w:line="276" w:lineRule="auto"/>
        <w:rPr>
          <w:color w:val="C0504D" w:themeColor="accent2"/>
          <w:sz w:val="27"/>
          <w:szCs w:val="27"/>
        </w:rPr>
      </w:pPr>
      <w:r>
        <w:rPr>
          <w:rFonts w:eastAsia="Arial" w:cs="Arial"/>
          <w:color w:val="auto"/>
          <w:sz w:val="22"/>
          <w:szCs w:val="22"/>
          <w:lang w:val="en" w:eastAsia="en-AU"/>
        </w:rPr>
        <w:lastRenderedPageBreak/>
        <w:t>6</w:t>
      </w:r>
      <w:r w:rsidR="00241EBB">
        <w:rPr>
          <w:rFonts w:eastAsia="Arial" w:cs="Arial"/>
          <w:color w:val="auto"/>
          <w:sz w:val="22"/>
          <w:szCs w:val="22"/>
          <w:lang w:val="en" w:eastAsia="en-AU"/>
        </w:rPr>
        <w:t>.</w:t>
      </w:r>
      <w:r w:rsidR="00D56AF6">
        <w:rPr>
          <w:rFonts w:eastAsia="Arial" w:cs="Arial"/>
          <w:color w:val="auto"/>
          <w:sz w:val="22"/>
          <w:szCs w:val="22"/>
          <w:lang w:val="en" w:eastAsia="en-AU"/>
        </w:rPr>
        <w:t xml:space="preserve"> </w:t>
      </w:r>
      <w:r w:rsidR="004E359C" w:rsidRPr="004E359C">
        <w:rPr>
          <w:rFonts w:eastAsia="Arial" w:cs="Arial"/>
          <w:color w:val="auto"/>
          <w:sz w:val="22"/>
          <w:szCs w:val="22"/>
          <w:lang w:val="en" w:eastAsia="en-AU"/>
        </w:rPr>
        <w:t>Procedures and responsibilities</w:t>
      </w:r>
    </w:p>
    <w:p w14:paraId="539FE266" w14:textId="38821DE8" w:rsidR="004E359C" w:rsidRPr="004E359C" w:rsidRDefault="004205F7" w:rsidP="00C442D3">
      <w:pPr>
        <w:pStyle w:val="HTVbody"/>
        <w:spacing w:after="0" w:line="276" w:lineRule="auto"/>
        <w:rPr>
          <w:rFonts w:eastAsia="Arial" w:cs="Arial"/>
          <w:b/>
          <w:sz w:val="22"/>
          <w:szCs w:val="22"/>
          <w:lang w:val="en" w:eastAsia="en-AU"/>
        </w:rPr>
      </w:pPr>
      <w:r>
        <w:rPr>
          <w:rFonts w:eastAsia="Arial" w:cs="Arial"/>
          <w:b/>
          <w:sz w:val="22"/>
          <w:szCs w:val="22"/>
          <w:lang w:val="en" w:eastAsia="en-AU"/>
        </w:rPr>
        <w:t>6</w:t>
      </w:r>
      <w:r w:rsidR="00241EBB">
        <w:rPr>
          <w:rFonts w:eastAsia="Arial" w:cs="Arial"/>
          <w:b/>
          <w:sz w:val="22"/>
          <w:szCs w:val="22"/>
          <w:lang w:val="en" w:eastAsia="en-AU"/>
        </w:rPr>
        <w:t>.</w:t>
      </w:r>
      <w:r w:rsidR="00D56AF6">
        <w:rPr>
          <w:rFonts w:eastAsia="Arial" w:cs="Arial"/>
          <w:b/>
          <w:sz w:val="22"/>
          <w:szCs w:val="22"/>
          <w:lang w:val="en" w:eastAsia="en-AU"/>
        </w:rPr>
        <w:t xml:space="preserve">1 </w:t>
      </w:r>
      <w:r w:rsidR="004E359C" w:rsidRPr="004E359C">
        <w:rPr>
          <w:rFonts w:eastAsia="Arial" w:cs="Arial"/>
          <w:b/>
          <w:sz w:val="22"/>
          <w:szCs w:val="22"/>
          <w:lang w:val="en" w:eastAsia="en-AU"/>
        </w:rPr>
        <w:t>Leadership and commitment</w:t>
      </w:r>
    </w:p>
    <w:p w14:paraId="37BD3FBE" w14:textId="39DEECBD" w:rsidR="004E359C" w:rsidRPr="007654DE" w:rsidRDefault="004E359C" w:rsidP="007654DE">
      <w:pPr>
        <w:pStyle w:val="ListParagraph"/>
        <w:numPr>
          <w:ilvl w:val="0"/>
          <w:numId w:val="18"/>
        </w:numPr>
        <w:rPr>
          <w:bCs/>
        </w:rPr>
      </w:pPr>
      <w:r w:rsidRPr="007654DE">
        <w:rPr>
          <w:bCs/>
        </w:rPr>
        <w:t>Staff, families and students are involved in guiding the development and implementation of the whole school Healthy Eating and Oral Health Policy</w:t>
      </w:r>
      <w:r w:rsidR="007654DE">
        <w:rPr>
          <w:bCs/>
        </w:rPr>
        <w:t>,</w:t>
      </w:r>
      <w:r w:rsidRPr="007654DE">
        <w:rPr>
          <w:bCs/>
        </w:rPr>
        <w:t xml:space="preserve"> and are seen as key partners in promoting and supporting healthy eating and oral health initiatives in the school.</w:t>
      </w:r>
    </w:p>
    <w:p w14:paraId="724329F2" w14:textId="77777777" w:rsidR="004E359C" w:rsidRPr="007654DE" w:rsidRDefault="004E359C" w:rsidP="007654DE">
      <w:pPr>
        <w:pStyle w:val="ListParagraph"/>
        <w:numPr>
          <w:ilvl w:val="0"/>
          <w:numId w:val="18"/>
        </w:numPr>
        <w:rPr>
          <w:bCs/>
        </w:rPr>
      </w:pPr>
      <w:r w:rsidRPr="007654DE">
        <w:rPr>
          <w:bCs/>
        </w:rPr>
        <w:t>Staff, families and students are provided with information about policy requirements, with opportunities to provide feedback and input.</w:t>
      </w:r>
    </w:p>
    <w:p w14:paraId="15AD2586" w14:textId="50332508" w:rsidR="004E359C" w:rsidRDefault="004E359C" w:rsidP="004E359C">
      <w:pPr>
        <w:pStyle w:val="HTVbody"/>
        <w:spacing w:after="0" w:line="360" w:lineRule="auto"/>
        <w:rPr>
          <w:b/>
          <w:bCs/>
        </w:rPr>
      </w:pPr>
    </w:p>
    <w:p w14:paraId="58DE8E65" w14:textId="19B7AC3A" w:rsidR="00481D7D" w:rsidRPr="004E359C" w:rsidRDefault="004205F7" w:rsidP="00481D7D">
      <w:pPr>
        <w:pStyle w:val="HTVbody"/>
        <w:spacing w:after="0" w:line="276" w:lineRule="auto"/>
        <w:rPr>
          <w:rFonts w:eastAsia="Arial" w:cs="Arial"/>
          <w:b/>
          <w:sz w:val="22"/>
          <w:szCs w:val="22"/>
          <w:lang w:val="en" w:eastAsia="en-AU"/>
        </w:rPr>
      </w:pPr>
      <w:r>
        <w:rPr>
          <w:rFonts w:eastAsia="Arial" w:cs="Arial"/>
          <w:b/>
          <w:sz w:val="22"/>
          <w:szCs w:val="22"/>
          <w:lang w:val="en" w:eastAsia="en-AU"/>
        </w:rPr>
        <w:t>6</w:t>
      </w:r>
      <w:r w:rsidR="00481D7D">
        <w:rPr>
          <w:rFonts w:eastAsia="Arial" w:cs="Arial"/>
          <w:b/>
          <w:sz w:val="22"/>
          <w:szCs w:val="22"/>
          <w:lang w:val="en" w:eastAsia="en-AU"/>
        </w:rPr>
        <w:t xml:space="preserve">.2 </w:t>
      </w:r>
      <w:r w:rsidR="00481D7D" w:rsidRPr="004E359C">
        <w:rPr>
          <w:rFonts w:eastAsia="Arial" w:cs="Arial"/>
          <w:b/>
          <w:sz w:val="22"/>
          <w:szCs w:val="22"/>
          <w:lang w:val="en" w:eastAsia="en-AU"/>
        </w:rPr>
        <w:t>Healthy culture</w:t>
      </w:r>
    </w:p>
    <w:p w14:paraId="2407D46A" w14:textId="1E4C2AB5" w:rsidR="00481D7D" w:rsidRDefault="00481D7D" w:rsidP="00481D7D">
      <w:pPr>
        <w:pStyle w:val="ListParagraph"/>
        <w:numPr>
          <w:ilvl w:val="0"/>
          <w:numId w:val="20"/>
        </w:numPr>
      </w:pPr>
      <w:r w:rsidRPr="009D6949">
        <w:t>Diversity</w:t>
      </w:r>
      <w:r w:rsidR="00593B33">
        <w:t>, equity</w:t>
      </w:r>
      <w:r w:rsidRPr="009D6949">
        <w:t xml:space="preserve"> and cultural practices are considered when implementing this policy.</w:t>
      </w:r>
    </w:p>
    <w:p w14:paraId="24B8192B" w14:textId="67D5A142" w:rsidR="00E118E1" w:rsidRPr="009D6949" w:rsidRDefault="00E118E1" w:rsidP="00E118E1">
      <w:pPr>
        <w:pStyle w:val="ListParagraph"/>
        <w:numPr>
          <w:ilvl w:val="0"/>
          <w:numId w:val="20"/>
        </w:numPr>
      </w:pPr>
      <w:r w:rsidRPr="009D6949">
        <w:t xml:space="preserve">Staff and visitors </w:t>
      </w:r>
      <w:proofErr w:type="spellStart"/>
      <w:r>
        <w:t>recognise</w:t>
      </w:r>
      <w:proofErr w:type="spellEnd"/>
      <w:r>
        <w:t xml:space="preserve"> the important </w:t>
      </w:r>
      <w:r w:rsidRPr="009D6949">
        <w:t xml:space="preserve">role </w:t>
      </w:r>
      <w:r>
        <w:t xml:space="preserve">they can play in </w:t>
      </w:r>
      <w:r w:rsidRPr="009D6949">
        <w:t>model</w:t>
      </w:r>
      <w:r>
        <w:t>ling</w:t>
      </w:r>
      <w:r w:rsidRPr="009D6949">
        <w:t xml:space="preserve"> healthy eating</w:t>
      </w:r>
      <w:r w:rsidR="004205F7">
        <w:t xml:space="preserve"> and oral health practices</w:t>
      </w:r>
      <w:r w:rsidRPr="009D6949">
        <w:t>.</w:t>
      </w:r>
    </w:p>
    <w:p w14:paraId="6030C1C9" w14:textId="04189440" w:rsidR="00220FD7" w:rsidRDefault="00220FD7" w:rsidP="004E359C">
      <w:pPr>
        <w:pStyle w:val="HTVbody"/>
        <w:spacing w:after="0" w:line="360" w:lineRule="auto"/>
        <w:rPr>
          <w:b/>
          <w:bCs/>
        </w:rPr>
      </w:pPr>
    </w:p>
    <w:p w14:paraId="7C88780D" w14:textId="34CC7F48" w:rsidR="0062231B" w:rsidRPr="004E359C" w:rsidRDefault="004205F7" w:rsidP="0062231B">
      <w:pPr>
        <w:pStyle w:val="HTVbody"/>
        <w:spacing w:after="0" w:line="276" w:lineRule="auto"/>
        <w:rPr>
          <w:rFonts w:eastAsia="Arial" w:cs="Arial"/>
          <w:b/>
          <w:sz w:val="22"/>
          <w:szCs w:val="22"/>
          <w:lang w:val="en" w:eastAsia="en-AU"/>
        </w:rPr>
      </w:pPr>
      <w:r>
        <w:rPr>
          <w:rFonts w:eastAsia="Arial" w:cs="Arial"/>
          <w:b/>
          <w:sz w:val="22"/>
          <w:szCs w:val="22"/>
          <w:lang w:val="en" w:eastAsia="en-AU"/>
        </w:rPr>
        <w:t>6</w:t>
      </w:r>
      <w:r w:rsidR="0062231B">
        <w:rPr>
          <w:rFonts w:eastAsia="Arial" w:cs="Arial"/>
          <w:b/>
          <w:sz w:val="22"/>
          <w:szCs w:val="22"/>
          <w:lang w:val="en" w:eastAsia="en-AU"/>
        </w:rPr>
        <w:t xml:space="preserve">.3 </w:t>
      </w:r>
      <w:r w:rsidR="0062231B" w:rsidRPr="004E359C">
        <w:rPr>
          <w:rFonts w:eastAsia="Arial" w:cs="Arial"/>
          <w:b/>
          <w:sz w:val="22"/>
          <w:szCs w:val="22"/>
          <w:lang w:val="en" w:eastAsia="en-AU"/>
        </w:rPr>
        <w:t xml:space="preserve">Student teaching and learning </w:t>
      </w:r>
    </w:p>
    <w:p w14:paraId="1A727B91" w14:textId="5C8A099E" w:rsidR="0062231B" w:rsidRPr="009D6949" w:rsidRDefault="0062231B" w:rsidP="0062231B">
      <w:pPr>
        <w:pStyle w:val="ListParagraph"/>
        <w:numPr>
          <w:ilvl w:val="0"/>
          <w:numId w:val="20"/>
        </w:numPr>
      </w:pPr>
      <w:r w:rsidRPr="009D6949">
        <w:t xml:space="preserve">Healthy eating and oral health messages are embedded in the curriculum. </w:t>
      </w:r>
      <w:r w:rsidR="00593B33">
        <w:t xml:space="preserve">It also equips </w:t>
      </w:r>
      <w:r w:rsidR="00805FE9">
        <w:t xml:space="preserve">students </w:t>
      </w:r>
      <w:r w:rsidR="00593B33">
        <w:t>with</w:t>
      </w:r>
      <w:r w:rsidRPr="009D6949">
        <w:t xml:space="preserve"> skills to enable them to make healthy</w:t>
      </w:r>
      <w:r>
        <w:t xml:space="preserve"> and environmentally sustainable</w:t>
      </w:r>
      <w:r w:rsidRPr="009D6949">
        <w:t xml:space="preserve"> food and drink </w:t>
      </w:r>
      <w:r w:rsidR="00805FE9" w:rsidRPr="009D6949">
        <w:t>choices</w:t>
      </w:r>
      <w:r w:rsidR="00805FE9">
        <w:t xml:space="preserve"> and</w:t>
      </w:r>
      <w:r w:rsidRPr="009D6949">
        <w:t xml:space="preserve"> develop a healthy relationship with food.</w:t>
      </w:r>
    </w:p>
    <w:p w14:paraId="34FB326F" w14:textId="77777777" w:rsidR="0062231B" w:rsidRPr="009D6949" w:rsidRDefault="0062231B" w:rsidP="0062231B">
      <w:pPr>
        <w:pStyle w:val="ListParagraph"/>
        <w:numPr>
          <w:ilvl w:val="0"/>
          <w:numId w:val="20"/>
        </w:numPr>
      </w:pPr>
      <w:r w:rsidRPr="009D6949">
        <w:t>Staff are supported to access professional development and resources about healthy eating and oral health education.</w:t>
      </w:r>
    </w:p>
    <w:p w14:paraId="2CBAB472" w14:textId="2BB80B31" w:rsidR="0062231B" w:rsidRPr="008C1855" w:rsidRDefault="0062231B" w:rsidP="0062231B">
      <w:pPr>
        <w:pStyle w:val="HTVbody"/>
        <w:numPr>
          <w:ilvl w:val="0"/>
          <w:numId w:val="20"/>
        </w:numPr>
        <w:spacing w:after="0" w:line="276" w:lineRule="auto"/>
        <w:rPr>
          <w:sz w:val="22"/>
          <w:szCs w:val="22"/>
        </w:rPr>
      </w:pPr>
      <w:r>
        <w:rPr>
          <w:sz w:val="22"/>
          <w:szCs w:val="22"/>
        </w:rPr>
        <w:t>In line with Victorian Government policy, d</w:t>
      </w:r>
      <w:r w:rsidRPr="00D56AF6">
        <w:rPr>
          <w:sz w:val="22"/>
          <w:szCs w:val="22"/>
        </w:rPr>
        <w:t xml:space="preserve">iscretionary food and drinks </w:t>
      </w:r>
      <w:r w:rsidR="007300B4">
        <w:rPr>
          <w:sz w:val="22"/>
          <w:szCs w:val="22"/>
        </w:rPr>
        <w:t xml:space="preserve">(refer to appendix) </w:t>
      </w:r>
      <w:r>
        <w:rPr>
          <w:sz w:val="22"/>
          <w:szCs w:val="22"/>
        </w:rPr>
        <w:t xml:space="preserve">are not used or promoted as part of curriculum-related activities or other activities offered by the school (including OSHC and activities provided by external service providers), except as part of nutrition education or where it has been expressly approved by the </w:t>
      </w:r>
      <w:proofErr w:type="gramStart"/>
      <w:r>
        <w:rPr>
          <w:sz w:val="22"/>
          <w:szCs w:val="22"/>
        </w:rPr>
        <w:t>Principal</w:t>
      </w:r>
      <w:proofErr w:type="gramEnd"/>
      <w:r w:rsidRPr="00D56AF6">
        <w:rPr>
          <w:sz w:val="22"/>
          <w:szCs w:val="22"/>
        </w:rPr>
        <w:t>.</w:t>
      </w:r>
    </w:p>
    <w:p w14:paraId="36808C05" w14:textId="77777777" w:rsidR="0062231B" w:rsidRPr="00EC5FBB" w:rsidRDefault="0062231B" w:rsidP="004E359C">
      <w:pPr>
        <w:pStyle w:val="HTVbody"/>
        <w:spacing w:after="0" w:line="360" w:lineRule="auto"/>
        <w:rPr>
          <w:b/>
          <w:bCs/>
        </w:rPr>
      </w:pPr>
    </w:p>
    <w:p w14:paraId="57FF9396" w14:textId="5B497BBC" w:rsidR="00D62CCF" w:rsidRPr="007300B4" w:rsidRDefault="007300B4" w:rsidP="00D62CCF">
      <w:pPr>
        <w:pStyle w:val="HTVbody"/>
        <w:spacing w:after="0" w:line="276" w:lineRule="auto"/>
        <w:rPr>
          <w:rFonts w:eastAsia="Arial" w:cs="Arial"/>
          <w:b/>
          <w:sz w:val="22"/>
          <w:szCs w:val="22"/>
          <w:lang w:val="en" w:eastAsia="en-AU"/>
        </w:rPr>
      </w:pPr>
      <w:r w:rsidRPr="007300B4">
        <w:rPr>
          <w:rFonts w:eastAsia="Arial" w:cs="Arial"/>
          <w:b/>
          <w:sz w:val="22"/>
          <w:szCs w:val="22"/>
          <w:lang w:val="en" w:eastAsia="en-AU"/>
        </w:rPr>
        <w:t>6</w:t>
      </w:r>
      <w:r w:rsidR="00D62CCF" w:rsidRPr="007300B4">
        <w:rPr>
          <w:rFonts w:eastAsia="Arial" w:cs="Arial"/>
          <w:b/>
          <w:sz w:val="22"/>
          <w:szCs w:val="22"/>
          <w:lang w:val="en" w:eastAsia="en-AU"/>
        </w:rPr>
        <w:t>.</w:t>
      </w:r>
      <w:r w:rsidR="0062231B" w:rsidRPr="007300B4">
        <w:rPr>
          <w:rFonts w:eastAsia="Arial" w:cs="Arial"/>
          <w:b/>
          <w:sz w:val="22"/>
          <w:szCs w:val="22"/>
          <w:lang w:val="en" w:eastAsia="en-AU"/>
        </w:rPr>
        <w:t>4</w:t>
      </w:r>
      <w:r w:rsidR="00D62CCF" w:rsidRPr="007300B4">
        <w:rPr>
          <w:rFonts w:eastAsia="Arial" w:cs="Arial"/>
          <w:b/>
          <w:sz w:val="22"/>
          <w:szCs w:val="22"/>
          <w:lang w:val="en" w:eastAsia="en-AU"/>
        </w:rPr>
        <w:t xml:space="preserve"> Healthy physical environment</w:t>
      </w:r>
    </w:p>
    <w:p w14:paraId="02CDC021" w14:textId="7B61D798" w:rsidR="00D62CCF" w:rsidRDefault="00D62CCF" w:rsidP="00D62CCF">
      <w:pPr>
        <w:pStyle w:val="HTVbody"/>
        <w:numPr>
          <w:ilvl w:val="0"/>
          <w:numId w:val="20"/>
        </w:numPr>
        <w:spacing w:after="0" w:line="276" w:lineRule="auto"/>
        <w:rPr>
          <w:sz w:val="22"/>
          <w:szCs w:val="22"/>
        </w:rPr>
      </w:pPr>
      <w:r w:rsidRPr="009D2E7F">
        <w:rPr>
          <w:sz w:val="22"/>
          <w:szCs w:val="22"/>
        </w:rPr>
        <w:t>Water (preferably tap water) is accessible for drinking at all times.</w:t>
      </w:r>
      <w:r>
        <w:rPr>
          <w:sz w:val="22"/>
          <w:szCs w:val="22"/>
        </w:rPr>
        <w:t xml:space="preserve"> </w:t>
      </w:r>
      <w:r w:rsidRPr="009D2E7F">
        <w:rPr>
          <w:sz w:val="22"/>
          <w:szCs w:val="22"/>
        </w:rPr>
        <w:t>The school ensure</w:t>
      </w:r>
      <w:r w:rsidR="00F00CB1">
        <w:rPr>
          <w:sz w:val="22"/>
          <w:szCs w:val="22"/>
        </w:rPr>
        <w:t>s</w:t>
      </w:r>
      <w:r w:rsidRPr="009D2E7F">
        <w:rPr>
          <w:sz w:val="22"/>
          <w:szCs w:val="22"/>
        </w:rPr>
        <w:t xml:space="preserve"> that a supply of fresh, clean and co</w:t>
      </w:r>
      <w:r>
        <w:rPr>
          <w:sz w:val="22"/>
          <w:szCs w:val="22"/>
        </w:rPr>
        <w:t>ol</w:t>
      </w:r>
      <w:r w:rsidRPr="009D2E7F">
        <w:rPr>
          <w:sz w:val="22"/>
          <w:szCs w:val="22"/>
        </w:rPr>
        <w:t xml:space="preserve"> drinking water is available at the school at all times. Staff ensure that students have access to their </w:t>
      </w:r>
      <w:r>
        <w:rPr>
          <w:sz w:val="22"/>
          <w:szCs w:val="22"/>
        </w:rPr>
        <w:t xml:space="preserve">bottle of </w:t>
      </w:r>
      <w:r w:rsidRPr="009D2E7F">
        <w:rPr>
          <w:sz w:val="22"/>
          <w:szCs w:val="22"/>
        </w:rPr>
        <w:t>fresh water as required across the school day.</w:t>
      </w:r>
    </w:p>
    <w:p w14:paraId="6BAFDC9D" w14:textId="6ABD0F33" w:rsidR="00D62CCF" w:rsidRDefault="00D62CCF" w:rsidP="00D62CCF">
      <w:pPr>
        <w:pStyle w:val="ListParagraph"/>
        <w:numPr>
          <w:ilvl w:val="0"/>
          <w:numId w:val="20"/>
        </w:numPr>
      </w:pPr>
      <w:r>
        <w:t>Staff, volunteers and visitors are provided with a suitable space for breastfeeding and storing breastmilk.</w:t>
      </w:r>
    </w:p>
    <w:p w14:paraId="71FCF483" w14:textId="4AEAD3BC" w:rsidR="00F74013" w:rsidRPr="00F74013" w:rsidRDefault="00F74013" w:rsidP="00F74013">
      <w:pPr>
        <w:pStyle w:val="HTVbody"/>
        <w:numPr>
          <w:ilvl w:val="0"/>
          <w:numId w:val="20"/>
        </w:numPr>
        <w:spacing w:after="0" w:line="276" w:lineRule="auto"/>
        <w:rPr>
          <w:sz w:val="22"/>
          <w:szCs w:val="22"/>
        </w:rPr>
      </w:pPr>
      <w:r w:rsidRPr="00AF4F7E">
        <w:rPr>
          <w:sz w:val="22"/>
          <w:szCs w:val="22"/>
        </w:rPr>
        <w:t xml:space="preserve">Vending machines selling food or drinks </w:t>
      </w:r>
      <w:r>
        <w:rPr>
          <w:sz w:val="22"/>
          <w:szCs w:val="22"/>
        </w:rPr>
        <w:t>are</w:t>
      </w:r>
      <w:r w:rsidRPr="00AF4F7E">
        <w:rPr>
          <w:sz w:val="22"/>
          <w:szCs w:val="22"/>
        </w:rPr>
        <w:t xml:space="preserve"> not </w:t>
      </w:r>
      <w:r>
        <w:rPr>
          <w:sz w:val="22"/>
          <w:szCs w:val="22"/>
        </w:rPr>
        <w:t>i</w:t>
      </w:r>
      <w:r w:rsidRPr="00AF4F7E">
        <w:rPr>
          <w:sz w:val="22"/>
          <w:szCs w:val="22"/>
        </w:rPr>
        <w:t>nstalled in the school.</w:t>
      </w:r>
    </w:p>
    <w:p w14:paraId="54AF703D" w14:textId="13EA50C0" w:rsidR="00D62CCF" w:rsidRDefault="00D62CCF" w:rsidP="00D62CCF">
      <w:pPr>
        <w:pStyle w:val="HTVbody"/>
        <w:numPr>
          <w:ilvl w:val="0"/>
          <w:numId w:val="20"/>
        </w:numPr>
        <w:spacing w:after="0" w:line="276" w:lineRule="auto"/>
        <w:rPr>
          <w:sz w:val="22"/>
          <w:szCs w:val="22"/>
        </w:rPr>
      </w:pPr>
      <w:r w:rsidRPr="005F52D3">
        <w:rPr>
          <w:sz w:val="22"/>
          <w:szCs w:val="22"/>
        </w:rPr>
        <w:t xml:space="preserve">The school </w:t>
      </w:r>
      <w:r w:rsidR="00F00CB1">
        <w:rPr>
          <w:sz w:val="22"/>
          <w:szCs w:val="22"/>
        </w:rPr>
        <w:t>(</w:t>
      </w:r>
      <w:r w:rsidRPr="005F52D3">
        <w:rPr>
          <w:sz w:val="22"/>
          <w:szCs w:val="22"/>
        </w:rPr>
        <w:t>and school events</w:t>
      </w:r>
      <w:r w:rsidR="00F00CB1">
        <w:rPr>
          <w:sz w:val="22"/>
          <w:szCs w:val="22"/>
        </w:rPr>
        <w:t>)</w:t>
      </w:r>
      <w:r w:rsidRPr="005F52D3">
        <w:rPr>
          <w:sz w:val="22"/>
          <w:szCs w:val="22"/>
        </w:rPr>
        <w:t xml:space="preserve"> </w:t>
      </w:r>
      <w:r w:rsidR="00F00CB1">
        <w:rPr>
          <w:sz w:val="22"/>
          <w:szCs w:val="22"/>
        </w:rPr>
        <w:t>do</w:t>
      </w:r>
      <w:r w:rsidRPr="005F52D3">
        <w:rPr>
          <w:sz w:val="22"/>
          <w:szCs w:val="22"/>
        </w:rPr>
        <w:t xml:space="preserve"> not accept sponsorship or advertising from companies </w:t>
      </w:r>
      <w:r w:rsidR="00593B33">
        <w:rPr>
          <w:sz w:val="22"/>
          <w:szCs w:val="22"/>
        </w:rPr>
        <w:t xml:space="preserve">selling or </w:t>
      </w:r>
      <w:r w:rsidRPr="005F52D3">
        <w:rPr>
          <w:sz w:val="22"/>
          <w:szCs w:val="22"/>
        </w:rPr>
        <w:t xml:space="preserve">promoting discretionary foods </w:t>
      </w:r>
      <w:r w:rsidR="004D61C6" w:rsidRPr="007300B4">
        <w:rPr>
          <w:sz w:val="22"/>
          <w:szCs w:val="22"/>
        </w:rPr>
        <w:t xml:space="preserve">(refer to </w:t>
      </w:r>
      <w:r w:rsidR="004D61C6">
        <w:rPr>
          <w:sz w:val="22"/>
          <w:szCs w:val="22"/>
        </w:rPr>
        <w:t>a</w:t>
      </w:r>
      <w:r w:rsidR="004D61C6" w:rsidRPr="007300B4">
        <w:rPr>
          <w:sz w:val="22"/>
          <w:szCs w:val="22"/>
        </w:rPr>
        <w:t>ppendix)</w:t>
      </w:r>
      <w:r w:rsidR="004D61C6">
        <w:rPr>
          <w:sz w:val="22"/>
          <w:szCs w:val="22"/>
        </w:rPr>
        <w:t xml:space="preserve"> </w:t>
      </w:r>
      <w:r w:rsidRPr="005F52D3">
        <w:rPr>
          <w:sz w:val="22"/>
          <w:szCs w:val="22"/>
        </w:rPr>
        <w:t>and / or related brands.</w:t>
      </w:r>
    </w:p>
    <w:p w14:paraId="4FDC784A" w14:textId="6CF9AC75" w:rsidR="00D62CCF" w:rsidRDefault="00D62CCF" w:rsidP="00220FD7">
      <w:pPr>
        <w:pStyle w:val="HTVbody"/>
        <w:spacing w:after="0" w:line="276" w:lineRule="auto"/>
        <w:rPr>
          <w:sz w:val="22"/>
          <w:szCs w:val="22"/>
        </w:rPr>
      </w:pPr>
    </w:p>
    <w:p w14:paraId="41974ECD" w14:textId="77777777" w:rsidR="007300B4" w:rsidRDefault="007300B4">
      <w:pPr>
        <w:rPr>
          <w:b/>
        </w:rPr>
      </w:pPr>
      <w:r>
        <w:rPr>
          <w:b/>
        </w:rPr>
        <w:br w:type="page"/>
      </w:r>
    </w:p>
    <w:p w14:paraId="30ECF98C" w14:textId="570F6157" w:rsidR="007300B4" w:rsidRPr="004E359C" w:rsidRDefault="007300B4" w:rsidP="007300B4">
      <w:pPr>
        <w:pStyle w:val="HTVbody"/>
        <w:spacing w:after="0" w:line="276" w:lineRule="auto"/>
        <w:rPr>
          <w:rFonts w:eastAsia="Arial" w:cs="Arial"/>
          <w:b/>
          <w:sz w:val="22"/>
          <w:szCs w:val="22"/>
          <w:lang w:val="en" w:eastAsia="en-AU"/>
        </w:rPr>
      </w:pPr>
      <w:r>
        <w:rPr>
          <w:rFonts w:eastAsia="Arial" w:cs="Arial"/>
          <w:b/>
          <w:sz w:val="22"/>
          <w:szCs w:val="22"/>
          <w:lang w:val="en" w:eastAsia="en-AU"/>
        </w:rPr>
        <w:lastRenderedPageBreak/>
        <w:t xml:space="preserve">6.5 </w:t>
      </w:r>
      <w:r w:rsidRPr="004E359C">
        <w:rPr>
          <w:rFonts w:eastAsia="Arial" w:cs="Arial"/>
          <w:b/>
          <w:sz w:val="22"/>
          <w:szCs w:val="22"/>
          <w:lang w:val="en" w:eastAsia="en-AU"/>
        </w:rPr>
        <w:t xml:space="preserve">Healthy </w:t>
      </w:r>
      <w:r>
        <w:rPr>
          <w:rFonts w:eastAsia="Arial" w:cs="Arial"/>
          <w:b/>
          <w:sz w:val="22"/>
          <w:szCs w:val="22"/>
          <w:lang w:val="en" w:eastAsia="en-AU"/>
        </w:rPr>
        <w:t>practices</w:t>
      </w:r>
    </w:p>
    <w:p w14:paraId="4159E683" w14:textId="77777777" w:rsidR="007300B4" w:rsidRPr="00D1146C" w:rsidRDefault="007300B4" w:rsidP="00220FD7">
      <w:pPr>
        <w:pStyle w:val="HTVbody"/>
        <w:spacing w:after="0" w:line="276" w:lineRule="auto"/>
        <w:rPr>
          <w:sz w:val="22"/>
          <w:szCs w:val="22"/>
        </w:rPr>
      </w:pPr>
    </w:p>
    <w:p w14:paraId="6C9A4678" w14:textId="7B9C8858" w:rsidR="00220FD7" w:rsidRPr="00220FD7" w:rsidRDefault="007300B4" w:rsidP="00220FD7">
      <w:pPr>
        <w:pStyle w:val="HTVbody"/>
        <w:spacing w:after="0" w:line="276" w:lineRule="auto"/>
        <w:rPr>
          <w:i/>
          <w:iCs/>
          <w:sz w:val="22"/>
          <w:szCs w:val="22"/>
        </w:rPr>
      </w:pPr>
      <w:r>
        <w:rPr>
          <w:i/>
          <w:iCs/>
          <w:sz w:val="22"/>
          <w:szCs w:val="22"/>
        </w:rPr>
        <w:t>6.</w:t>
      </w:r>
      <w:r w:rsidR="00766C05">
        <w:rPr>
          <w:i/>
          <w:iCs/>
          <w:sz w:val="22"/>
          <w:szCs w:val="22"/>
        </w:rPr>
        <w:t>5.</w:t>
      </w:r>
      <w:r>
        <w:rPr>
          <w:i/>
          <w:iCs/>
          <w:sz w:val="22"/>
          <w:szCs w:val="22"/>
        </w:rPr>
        <w:t>1</w:t>
      </w:r>
      <w:r w:rsidR="00766C05">
        <w:rPr>
          <w:i/>
          <w:iCs/>
          <w:sz w:val="22"/>
          <w:szCs w:val="22"/>
        </w:rPr>
        <w:t xml:space="preserve"> </w:t>
      </w:r>
      <w:r w:rsidR="00220FD7">
        <w:rPr>
          <w:i/>
          <w:iCs/>
          <w:sz w:val="22"/>
          <w:szCs w:val="22"/>
        </w:rPr>
        <w:t>School lunches and snacks</w:t>
      </w:r>
    </w:p>
    <w:p w14:paraId="37F8797C" w14:textId="3B46530B" w:rsidR="001041D9" w:rsidRPr="00AF4F7E" w:rsidRDefault="001041D9" w:rsidP="001041D9">
      <w:pPr>
        <w:pStyle w:val="HTVbody"/>
        <w:numPr>
          <w:ilvl w:val="0"/>
          <w:numId w:val="20"/>
        </w:numPr>
        <w:spacing w:after="0" w:line="276" w:lineRule="auto"/>
        <w:rPr>
          <w:sz w:val="22"/>
          <w:szCs w:val="22"/>
        </w:rPr>
      </w:pPr>
      <w:r w:rsidRPr="00D56AF6">
        <w:rPr>
          <w:sz w:val="22"/>
          <w:szCs w:val="22"/>
        </w:rPr>
        <w:t xml:space="preserve">Students are provided with inviting spaces and </w:t>
      </w:r>
      <w:r w:rsidRPr="00AF4F7E">
        <w:rPr>
          <w:sz w:val="22"/>
          <w:szCs w:val="22"/>
        </w:rPr>
        <w:t xml:space="preserve">dedicated, </w:t>
      </w:r>
      <w:r w:rsidRPr="00D56AF6">
        <w:rPr>
          <w:sz w:val="22"/>
          <w:szCs w:val="22"/>
        </w:rPr>
        <w:t>sufficient time to eat</w:t>
      </w:r>
      <w:r w:rsidRPr="00AF4F7E">
        <w:rPr>
          <w:sz w:val="22"/>
          <w:szCs w:val="22"/>
        </w:rPr>
        <w:t xml:space="preserve">, at </w:t>
      </w:r>
      <w:r>
        <w:rPr>
          <w:sz w:val="22"/>
          <w:szCs w:val="22"/>
        </w:rPr>
        <w:t>age-</w:t>
      </w:r>
      <w:r w:rsidRPr="00AF4F7E">
        <w:rPr>
          <w:sz w:val="22"/>
          <w:szCs w:val="22"/>
        </w:rPr>
        <w:t xml:space="preserve">appropriate </w:t>
      </w:r>
      <w:r>
        <w:rPr>
          <w:sz w:val="22"/>
          <w:szCs w:val="22"/>
        </w:rPr>
        <w:t xml:space="preserve">times </w:t>
      </w:r>
      <w:r w:rsidRPr="00AF4F7E">
        <w:rPr>
          <w:sz w:val="22"/>
          <w:szCs w:val="22"/>
        </w:rPr>
        <w:t>throughout the school day</w:t>
      </w:r>
      <w:r w:rsidRPr="00D56AF6">
        <w:rPr>
          <w:sz w:val="22"/>
          <w:szCs w:val="22"/>
        </w:rPr>
        <w:t xml:space="preserve">. </w:t>
      </w:r>
      <w:r w:rsidRPr="0027190F">
        <w:rPr>
          <w:sz w:val="22"/>
          <w:szCs w:val="22"/>
        </w:rPr>
        <w:t xml:space="preserve">The school </w:t>
      </w:r>
      <w:r w:rsidR="009B4E96">
        <w:rPr>
          <w:sz w:val="22"/>
          <w:szCs w:val="22"/>
        </w:rPr>
        <w:t xml:space="preserve">consistently </w:t>
      </w:r>
      <w:r w:rsidRPr="0027190F">
        <w:rPr>
          <w:sz w:val="22"/>
          <w:szCs w:val="22"/>
        </w:rPr>
        <w:t>allow</w:t>
      </w:r>
      <w:r>
        <w:rPr>
          <w:sz w:val="22"/>
          <w:szCs w:val="22"/>
        </w:rPr>
        <w:t>s</w:t>
      </w:r>
      <w:r w:rsidRPr="0027190F">
        <w:rPr>
          <w:sz w:val="22"/>
          <w:szCs w:val="22"/>
        </w:rPr>
        <w:t xml:space="preserve"> and </w:t>
      </w:r>
      <w:r>
        <w:rPr>
          <w:sz w:val="22"/>
          <w:szCs w:val="22"/>
        </w:rPr>
        <w:t xml:space="preserve">actively </w:t>
      </w:r>
      <w:r w:rsidRPr="0027190F">
        <w:rPr>
          <w:sz w:val="22"/>
          <w:szCs w:val="22"/>
        </w:rPr>
        <w:t>promote</w:t>
      </w:r>
      <w:r>
        <w:rPr>
          <w:sz w:val="22"/>
          <w:szCs w:val="22"/>
        </w:rPr>
        <w:t>s</w:t>
      </w:r>
      <w:r w:rsidRPr="0027190F">
        <w:rPr>
          <w:sz w:val="22"/>
          <w:szCs w:val="22"/>
        </w:rPr>
        <w:t xml:space="preserve"> children sit</w:t>
      </w:r>
      <w:r>
        <w:rPr>
          <w:sz w:val="22"/>
          <w:szCs w:val="22"/>
        </w:rPr>
        <w:t>ting</w:t>
      </w:r>
      <w:r w:rsidRPr="0027190F">
        <w:rPr>
          <w:sz w:val="22"/>
          <w:szCs w:val="22"/>
        </w:rPr>
        <w:t xml:space="preserve"> and eat</w:t>
      </w:r>
      <w:r>
        <w:rPr>
          <w:sz w:val="22"/>
          <w:szCs w:val="22"/>
        </w:rPr>
        <w:t>ing</w:t>
      </w:r>
      <w:r w:rsidRPr="0027190F">
        <w:rPr>
          <w:sz w:val="22"/>
          <w:szCs w:val="22"/>
        </w:rPr>
        <w:t xml:space="preserve"> their </w:t>
      </w:r>
      <w:r>
        <w:rPr>
          <w:sz w:val="22"/>
          <w:szCs w:val="22"/>
        </w:rPr>
        <w:t>food</w:t>
      </w:r>
      <w:r w:rsidRPr="0027190F">
        <w:rPr>
          <w:sz w:val="22"/>
          <w:szCs w:val="22"/>
        </w:rPr>
        <w:t xml:space="preserve"> with their peers</w:t>
      </w:r>
      <w:r>
        <w:rPr>
          <w:sz w:val="22"/>
          <w:szCs w:val="22"/>
        </w:rPr>
        <w:t>,</w:t>
      </w:r>
      <w:r w:rsidRPr="00AF4F7E">
        <w:rPr>
          <w:sz w:val="22"/>
          <w:szCs w:val="22"/>
        </w:rPr>
        <w:t xml:space="preserve"> </w:t>
      </w:r>
      <w:r w:rsidRPr="0027190F">
        <w:rPr>
          <w:sz w:val="22"/>
          <w:szCs w:val="22"/>
        </w:rPr>
        <w:t xml:space="preserve">and </w:t>
      </w:r>
      <w:r>
        <w:rPr>
          <w:sz w:val="22"/>
          <w:szCs w:val="22"/>
        </w:rPr>
        <w:t xml:space="preserve">encourages them to </w:t>
      </w:r>
      <w:r w:rsidRPr="0027190F">
        <w:rPr>
          <w:sz w:val="22"/>
          <w:szCs w:val="22"/>
        </w:rPr>
        <w:t xml:space="preserve">consume </w:t>
      </w:r>
      <w:r w:rsidR="00490BBB">
        <w:rPr>
          <w:sz w:val="22"/>
          <w:szCs w:val="22"/>
        </w:rPr>
        <w:t>their food</w:t>
      </w:r>
      <w:r w:rsidRPr="0027190F">
        <w:rPr>
          <w:sz w:val="22"/>
          <w:szCs w:val="22"/>
        </w:rPr>
        <w:t xml:space="preserve"> before they go out </w:t>
      </w:r>
      <w:r w:rsidRPr="00AF4F7E">
        <w:rPr>
          <w:sz w:val="22"/>
          <w:szCs w:val="22"/>
        </w:rPr>
        <w:t>for</w:t>
      </w:r>
      <w:r w:rsidRPr="0027190F">
        <w:rPr>
          <w:sz w:val="22"/>
          <w:szCs w:val="22"/>
        </w:rPr>
        <w:t xml:space="preserve"> playtimes. </w:t>
      </w:r>
      <w:r>
        <w:rPr>
          <w:sz w:val="22"/>
          <w:szCs w:val="22"/>
        </w:rPr>
        <w:t xml:space="preserve">This dedicated eating time consists of </w:t>
      </w:r>
      <w:r w:rsidR="00805FE9">
        <w:rPr>
          <w:sz w:val="22"/>
          <w:szCs w:val="22"/>
        </w:rPr>
        <w:t xml:space="preserve">approximately </w:t>
      </w:r>
      <w:r w:rsidRPr="00805FE9">
        <w:rPr>
          <w:sz w:val="22"/>
          <w:szCs w:val="22"/>
        </w:rPr>
        <w:t>1</w:t>
      </w:r>
      <w:r w:rsidR="00805FE9" w:rsidRPr="00805FE9">
        <w:rPr>
          <w:sz w:val="22"/>
          <w:szCs w:val="22"/>
        </w:rPr>
        <w:t>0</w:t>
      </w:r>
      <w:r w:rsidRPr="00805FE9">
        <w:rPr>
          <w:sz w:val="22"/>
          <w:szCs w:val="22"/>
        </w:rPr>
        <w:t xml:space="preserve"> minutes</w:t>
      </w:r>
      <w:r>
        <w:rPr>
          <w:sz w:val="22"/>
          <w:szCs w:val="22"/>
        </w:rPr>
        <w:t xml:space="preserve"> for the children’s main meal</w:t>
      </w:r>
      <w:r w:rsidRPr="00AF4F7E">
        <w:rPr>
          <w:sz w:val="22"/>
          <w:szCs w:val="22"/>
        </w:rPr>
        <w:t xml:space="preserve">, </w:t>
      </w:r>
      <w:r>
        <w:rPr>
          <w:sz w:val="22"/>
          <w:szCs w:val="22"/>
        </w:rPr>
        <w:t>and</w:t>
      </w:r>
      <w:r w:rsidRPr="00AF4F7E">
        <w:rPr>
          <w:sz w:val="22"/>
          <w:szCs w:val="22"/>
        </w:rPr>
        <w:t xml:space="preserve"> </w:t>
      </w:r>
      <w:r w:rsidR="00805FE9" w:rsidRPr="00805FE9">
        <w:rPr>
          <w:sz w:val="22"/>
          <w:szCs w:val="22"/>
        </w:rPr>
        <w:t>approximately</w:t>
      </w:r>
      <w:r w:rsidRPr="00805FE9">
        <w:rPr>
          <w:sz w:val="22"/>
          <w:szCs w:val="22"/>
        </w:rPr>
        <w:t xml:space="preserve"> </w:t>
      </w:r>
      <w:r w:rsidR="00805FE9" w:rsidRPr="00805FE9">
        <w:rPr>
          <w:sz w:val="22"/>
          <w:szCs w:val="22"/>
        </w:rPr>
        <w:t>5</w:t>
      </w:r>
      <w:r w:rsidRPr="00805FE9">
        <w:rPr>
          <w:sz w:val="22"/>
          <w:szCs w:val="22"/>
        </w:rPr>
        <w:t xml:space="preserve"> minutes</w:t>
      </w:r>
      <w:r w:rsidRPr="00AF4F7E">
        <w:rPr>
          <w:sz w:val="22"/>
          <w:szCs w:val="22"/>
        </w:rPr>
        <w:t xml:space="preserve"> for snacks</w:t>
      </w:r>
      <w:r w:rsidRPr="0027190F">
        <w:rPr>
          <w:sz w:val="22"/>
          <w:szCs w:val="22"/>
        </w:rPr>
        <w:t>.</w:t>
      </w:r>
      <w:r w:rsidR="002A786D" w:rsidRPr="006E5080">
        <w:rPr>
          <w:sz w:val="22"/>
          <w:szCs w:val="22"/>
        </w:rPr>
        <w:t xml:space="preserve"> Staff </w:t>
      </w:r>
      <w:r w:rsidR="005E58B8">
        <w:rPr>
          <w:sz w:val="22"/>
          <w:szCs w:val="22"/>
        </w:rPr>
        <w:t>are</w:t>
      </w:r>
      <w:r w:rsidR="002A786D" w:rsidRPr="006E5080">
        <w:rPr>
          <w:sz w:val="22"/>
          <w:szCs w:val="22"/>
        </w:rPr>
        <w:t xml:space="preserve"> supported to implement strategies which foster a positive eating-time environment.</w:t>
      </w:r>
    </w:p>
    <w:p w14:paraId="27F29A07" w14:textId="7EE53BDD" w:rsidR="00220FD7" w:rsidRDefault="00220FD7" w:rsidP="00220FD7">
      <w:pPr>
        <w:pStyle w:val="ListParagraph"/>
        <w:numPr>
          <w:ilvl w:val="0"/>
          <w:numId w:val="20"/>
        </w:numPr>
      </w:pPr>
      <w:r w:rsidRPr="00E74910">
        <w:t>CSPS actively promotes the concept of ‘Nude Food’ and encourages all students to bring a healthy lunchbox free of packaging to school for lunch and snacks.</w:t>
      </w:r>
    </w:p>
    <w:p w14:paraId="210BC0A2" w14:textId="77777777" w:rsidR="00220FD7" w:rsidRDefault="00220FD7" w:rsidP="00220FD7">
      <w:pPr>
        <w:pStyle w:val="ListParagraph"/>
        <w:numPr>
          <w:ilvl w:val="0"/>
          <w:numId w:val="20"/>
        </w:numPr>
      </w:pPr>
      <w:r>
        <w:t>Students are</w:t>
      </w:r>
      <w:r w:rsidRPr="009D2E7F">
        <w:t xml:space="preserve"> encourage</w:t>
      </w:r>
      <w:r>
        <w:t>d</w:t>
      </w:r>
      <w:r w:rsidRPr="009D2E7F">
        <w:t xml:space="preserve"> to eat a piece of fruit </w:t>
      </w:r>
      <w:r>
        <w:t>and/</w:t>
      </w:r>
      <w:r w:rsidRPr="009D2E7F">
        <w:t>or vegetable</w:t>
      </w:r>
      <w:r>
        <w:t>s</w:t>
      </w:r>
      <w:r w:rsidRPr="009D2E7F">
        <w:t xml:space="preserve"> as part of fruit snack time each school morning</w:t>
      </w:r>
      <w:r>
        <w:t>.</w:t>
      </w:r>
    </w:p>
    <w:p w14:paraId="71DB6C99" w14:textId="501AD73C" w:rsidR="002C6DA8" w:rsidRPr="00766C05" w:rsidRDefault="002C6DA8" w:rsidP="005F73C2">
      <w:pPr>
        <w:pStyle w:val="HTVbody"/>
        <w:numPr>
          <w:ilvl w:val="0"/>
          <w:numId w:val="20"/>
        </w:numPr>
        <w:spacing w:after="0" w:line="276" w:lineRule="auto"/>
        <w:rPr>
          <w:sz w:val="22"/>
          <w:szCs w:val="22"/>
        </w:rPr>
      </w:pPr>
      <w:r w:rsidRPr="00766C05">
        <w:rPr>
          <w:sz w:val="22"/>
          <w:szCs w:val="22"/>
        </w:rPr>
        <w:t xml:space="preserve">The </w:t>
      </w:r>
      <w:r w:rsidR="00766C05" w:rsidRPr="00766C05">
        <w:rPr>
          <w:sz w:val="22"/>
          <w:szCs w:val="22"/>
        </w:rPr>
        <w:t>school work</w:t>
      </w:r>
      <w:r w:rsidR="00F00CB1">
        <w:rPr>
          <w:sz w:val="22"/>
          <w:szCs w:val="22"/>
        </w:rPr>
        <w:t>s</w:t>
      </w:r>
      <w:r w:rsidR="00766C05" w:rsidRPr="00766C05">
        <w:rPr>
          <w:sz w:val="22"/>
          <w:szCs w:val="22"/>
        </w:rPr>
        <w:t xml:space="preserve"> closely with relevant external providers (including through use of the </w:t>
      </w:r>
      <w:hyperlink r:id="rId14" w:history="1">
        <w:r w:rsidR="00766C05" w:rsidRPr="00766C05">
          <w:rPr>
            <w:rStyle w:val="Hyperlink"/>
            <w:sz w:val="22"/>
            <w:szCs w:val="22"/>
          </w:rPr>
          <w:t xml:space="preserve">Healthy Eating Advisory Service (HEAS) </w:t>
        </w:r>
        <w:proofErr w:type="spellStart"/>
        <w:r w:rsidR="00766C05" w:rsidRPr="00766C05">
          <w:rPr>
            <w:rStyle w:val="Hyperlink"/>
            <w:sz w:val="22"/>
            <w:szCs w:val="22"/>
          </w:rPr>
          <w:t>FoodChecker</w:t>
        </w:r>
        <w:proofErr w:type="spellEnd"/>
        <w:r w:rsidR="00766C05" w:rsidRPr="00766C05">
          <w:rPr>
            <w:rStyle w:val="Hyperlink"/>
            <w:sz w:val="22"/>
            <w:szCs w:val="22"/>
          </w:rPr>
          <w:t xml:space="preserve"> tool</w:t>
        </w:r>
      </w:hyperlink>
      <w:r w:rsidR="00766C05" w:rsidRPr="00766C05">
        <w:rPr>
          <w:sz w:val="22"/>
          <w:szCs w:val="22"/>
        </w:rPr>
        <w:t xml:space="preserve">) to </w:t>
      </w:r>
      <w:r w:rsidR="00600CD7">
        <w:rPr>
          <w:sz w:val="22"/>
          <w:szCs w:val="22"/>
        </w:rPr>
        <w:t>align</w:t>
      </w:r>
      <w:r w:rsidR="00766C05" w:rsidRPr="00766C05">
        <w:rPr>
          <w:sz w:val="22"/>
          <w:szCs w:val="22"/>
        </w:rPr>
        <w:t xml:space="preserve"> the </w:t>
      </w:r>
      <w:r w:rsidRPr="00766C05">
        <w:rPr>
          <w:sz w:val="22"/>
          <w:szCs w:val="22"/>
        </w:rPr>
        <w:t xml:space="preserve">lunch order </w:t>
      </w:r>
      <w:r w:rsidR="00766C05" w:rsidRPr="00766C05">
        <w:rPr>
          <w:sz w:val="22"/>
          <w:szCs w:val="22"/>
        </w:rPr>
        <w:t xml:space="preserve">service </w:t>
      </w:r>
      <w:r w:rsidRPr="00766C05">
        <w:rPr>
          <w:sz w:val="22"/>
          <w:szCs w:val="22"/>
        </w:rPr>
        <w:t xml:space="preserve">with relevant </w:t>
      </w:r>
      <w:r w:rsidR="00810976" w:rsidRPr="00766C05">
        <w:rPr>
          <w:sz w:val="22"/>
          <w:szCs w:val="22"/>
        </w:rPr>
        <w:t xml:space="preserve">Victorian Government </w:t>
      </w:r>
      <w:r w:rsidRPr="00766C05">
        <w:rPr>
          <w:sz w:val="22"/>
          <w:szCs w:val="22"/>
        </w:rPr>
        <w:t>policies</w:t>
      </w:r>
      <w:r w:rsidR="00810976" w:rsidRPr="00766C05">
        <w:rPr>
          <w:sz w:val="22"/>
          <w:szCs w:val="22"/>
        </w:rPr>
        <w:t xml:space="preserve"> (including the </w:t>
      </w:r>
      <w:hyperlink r:id="rId15" w:history="1">
        <w:r w:rsidR="00810976" w:rsidRPr="00766C05">
          <w:rPr>
            <w:rStyle w:val="Hyperlink"/>
            <w:sz w:val="22"/>
            <w:szCs w:val="22"/>
          </w:rPr>
          <w:t>School Canteens and Other School Food Services Policy</w:t>
        </w:r>
      </w:hyperlink>
      <w:r w:rsidR="00766C05" w:rsidRPr="00766C05">
        <w:rPr>
          <w:rStyle w:val="Hyperlink"/>
          <w:sz w:val="22"/>
          <w:szCs w:val="22"/>
        </w:rPr>
        <w:t>)</w:t>
      </w:r>
      <w:r w:rsidRPr="00766C05">
        <w:rPr>
          <w:sz w:val="22"/>
          <w:szCs w:val="22"/>
        </w:rPr>
        <w:t xml:space="preserve"> and the whole-school approach to healthy eating and oral health.</w:t>
      </w:r>
    </w:p>
    <w:p w14:paraId="7ADB6CFB" w14:textId="771D2313" w:rsidR="00810976" w:rsidRPr="00D1146C" w:rsidRDefault="00810976" w:rsidP="002C6DA8">
      <w:pPr>
        <w:pStyle w:val="HTVbody"/>
        <w:spacing w:after="0" w:line="276" w:lineRule="auto"/>
        <w:rPr>
          <w:sz w:val="22"/>
          <w:szCs w:val="22"/>
        </w:rPr>
      </w:pPr>
    </w:p>
    <w:p w14:paraId="6E13E0E6" w14:textId="4C0E4CB1" w:rsidR="00FF08A5" w:rsidRPr="00220FD7" w:rsidRDefault="007300B4" w:rsidP="00FF08A5">
      <w:pPr>
        <w:pStyle w:val="HTVbody"/>
        <w:spacing w:after="0" w:line="276" w:lineRule="auto"/>
        <w:rPr>
          <w:rFonts w:eastAsia="Arial" w:cs="Arial"/>
          <w:bCs/>
          <w:i/>
          <w:iCs/>
          <w:sz w:val="22"/>
          <w:szCs w:val="22"/>
          <w:lang w:val="en" w:eastAsia="en-AU"/>
        </w:rPr>
      </w:pPr>
      <w:r>
        <w:rPr>
          <w:rFonts w:eastAsia="Arial" w:cs="Arial"/>
          <w:bCs/>
          <w:i/>
          <w:iCs/>
          <w:sz w:val="22"/>
          <w:szCs w:val="22"/>
          <w:lang w:val="en" w:eastAsia="en-AU"/>
        </w:rPr>
        <w:t>6.</w:t>
      </w:r>
      <w:r w:rsidR="00FF08A5">
        <w:rPr>
          <w:rFonts w:eastAsia="Arial" w:cs="Arial"/>
          <w:bCs/>
          <w:i/>
          <w:iCs/>
          <w:sz w:val="22"/>
          <w:szCs w:val="22"/>
          <w:lang w:val="en" w:eastAsia="en-AU"/>
        </w:rPr>
        <w:t>5.</w:t>
      </w:r>
      <w:r>
        <w:rPr>
          <w:rFonts w:eastAsia="Arial" w:cs="Arial"/>
          <w:bCs/>
          <w:i/>
          <w:iCs/>
          <w:sz w:val="22"/>
          <w:szCs w:val="22"/>
          <w:lang w:val="en" w:eastAsia="en-AU"/>
        </w:rPr>
        <w:t>2</w:t>
      </w:r>
      <w:r w:rsidR="00FF08A5">
        <w:rPr>
          <w:rFonts w:eastAsia="Arial" w:cs="Arial"/>
          <w:bCs/>
          <w:i/>
          <w:iCs/>
          <w:sz w:val="22"/>
          <w:szCs w:val="22"/>
          <w:lang w:val="en" w:eastAsia="en-AU"/>
        </w:rPr>
        <w:t xml:space="preserve"> Special e</w:t>
      </w:r>
      <w:r w:rsidR="00FF08A5" w:rsidRPr="00220FD7">
        <w:rPr>
          <w:rFonts w:eastAsia="Arial" w:cs="Arial"/>
          <w:bCs/>
          <w:i/>
          <w:iCs/>
          <w:sz w:val="22"/>
          <w:szCs w:val="22"/>
          <w:lang w:val="en" w:eastAsia="en-AU"/>
        </w:rPr>
        <w:t>vents</w:t>
      </w:r>
      <w:r w:rsidR="007F28AA">
        <w:rPr>
          <w:rFonts w:eastAsia="Arial" w:cs="Arial"/>
          <w:bCs/>
          <w:i/>
          <w:iCs/>
          <w:sz w:val="22"/>
          <w:szCs w:val="22"/>
          <w:lang w:val="en" w:eastAsia="en-AU"/>
        </w:rPr>
        <w:t xml:space="preserve">, </w:t>
      </w:r>
      <w:r w:rsidR="00FF08A5" w:rsidRPr="00220FD7">
        <w:rPr>
          <w:rFonts w:eastAsia="Arial" w:cs="Arial"/>
          <w:bCs/>
          <w:i/>
          <w:iCs/>
          <w:sz w:val="22"/>
          <w:szCs w:val="22"/>
          <w:lang w:val="en" w:eastAsia="en-AU"/>
        </w:rPr>
        <w:t>celebrations</w:t>
      </w:r>
      <w:r w:rsidR="007F28AA">
        <w:rPr>
          <w:rFonts w:eastAsia="Arial" w:cs="Arial"/>
          <w:bCs/>
          <w:i/>
          <w:iCs/>
          <w:sz w:val="22"/>
          <w:szCs w:val="22"/>
          <w:lang w:val="en" w:eastAsia="en-AU"/>
        </w:rPr>
        <w:t xml:space="preserve"> and birthdays</w:t>
      </w:r>
    </w:p>
    <w:p w14:paraId="4C11D072" w14:textId="7FD3DDBE" w:rsidR="0083379F" w:rsidRDefault="00FF08A5" w:rsidP="00FF08A5">
      <w:pPr>
        <w:pStyle w:val="ListParagraph"/>
        <w:numPr>
          <w:ilvl w:val="0"/>
          <w:numId w:val="20"/>
        </w:numPr>
      </w:pPr>
      <w:r>
        <w:t xml:space="preserve">The CSPS community </w:t>
      </w:r>
      <w:proofErr w:type="spellStart"/>
      <w:r>
        <w:t>recognises</w:t>
      </w:r>
      <w:proofErr w:type="spellEnd"/>
      <w:r>
        <w:t xml:space="preserve"> the important role that food plays as part of </w:t>
      </w:r>
      <w:r w:rsidR="0083379F">
        <w:t>c</w:t>
      </w:r>
      <w:r w:rsidRPr="009D6949">
        <w:t>elebrations</w:t>
      </w:r>
      <w:r>
        <w:t xml:space="preserve"> </w:t>
      </w:r>
      <w:r w:rsidRPr="009D6949">
        <w:t xml:space="preserve">and </w:t>
      </w:r>
      <w:r w:rsidR="0083379F">
        <w:t>cultural activities.</w:t>
      </w:r>
    </w:p>
    <w:p w14:paraId="0BA7BF1C" w14:textId="4AEEBA6D" w:rsidR="00FF08A5" w:rsidRPr="00805FE9" w:rsidRDefault="005D6F0E" w:rsidP="00FF08A5">
      <w:pPr>
        <w:pStyle w:val="ListParagraph"/>
        <w:numPr>
          <w:ilvl w:val="0"/>
          <w:numId w:val="20"/>
        </w:numPr>
      </w:pPr>
      <w:r>
        <w:t xml:space="preserve">As part of </w:t>
      </w:r>
      <w:r w:rsidR="0083379F">
        <w:t xml:space="preserve">CSPS </w:t>
      </w:r>
      <w:r>
        <w:t xml:space="preserve">special events and celebrations, efforts </w:t>
      </w:r>
      <w:r w:rsidR="00F00CB1">
        <w:t>are</w:t>
      </w:r>
      <w:r>
        <w:t xml:space="preserve"> made to ensure that foods available </w:t>
      </w:r>
      <w:r w:rsidR="00FF08A5" w:rsidRPr="009D6949">
        <w:t xml:space="preserve">include </w:t>
      </w:r>
      <w:r w:rsidR="00FF08A5">
        <w:t xml:space="preserve">a range of </w:t>
      </w:r>
      <w:r w:rsidR="00FF08A5" w:rsidRPr="009D6949">
        <w:t>healthy food options</w:t>
      </w:r>
      <w:r w:rsidR="00677343">
        <w:t xml:space="preserve"> and</w:t>
      </w:r>
      <w:r w:rsidR="00FF08A5">
        <w:t xml:space="preserve"> c</w:t>
      </w:r>
      <w:r w:rsidR="00FF08A5" w:rsidRPr="00252140">
        <w:t xml:space="preserve">ulturally appropriate choices that reflect the community in which the school exists, </w:t>
      </w:r>
      <w:r w:rsidR="00FF08A5" w:rsidRPr="00805FE9">
        <w:t>e.g. options for kosher, halal, vegan, vegetarian.</w:t>
      </w:r>
    </w:p>
    <w:p w14:paraId="4372B719" w14:textId="116F2F68" w:rsidR="00C04D72" w:rsidRPr="00C04D72" w:rsidRDefault="00C04D72" w:rsidP="00C04D72">
      <w:pPr>
        <w:pStyle w:val="ListParagraph"/>
        <w:numPr>
          <w:ilvl w:val="0"/>
          <w:numId w:val="20"/>
        </w:numPr>
        <w:rPr>
          <w:b/>
        </w:rPr>
      </w:pPr>
      <w:r>
        <w:t>Alcohol is not served, sold or promoted at school-related events at which CSPS children are present.</w:t>
      </w:r>
    </w:p>
    <w:p w14:paraId="031AEFC9" w14:textId="51614545" w:rsidR="00DF65BD" w:rsidRDefault="007F28AA" w:rsidP="007F28AA">
      <w:pPr>
        <w:pStyle w:val="HTVbody"/>
        <w:numPr>
          <w:ilvl w:val="0"/>
          <w:numId w:val="20"/>
        </w:numPr>
        <w:spacing w:after="0" w:line="276" w:lineRule="auto"/>
        <w:rPr>
          <w:rStyle w:val="Hyperlink"/>
          <w:color w:val="auto"/>
          <w:sz w:val="22"/>
          <w:szCs w:val="22"/>
          <w:u w:val="none"/>
        </w:rPr>
      </w:pPr>
      <w:r w:rsidRPr="00B61B7A">
        <w:rPr>
          <w:sz w:val="22"/>
          <w:szCs w:val="22"/>
        </w:rPr>
        <w:t xml:space="preserve">In line with Victorian Government policies (e.g. </w:t>
      </w:r>
      <w:hyperlink r:id="rId16" w:history="1">
        <w:r w:rsidRPr="00B61B7A">
          <w:rPr>
            <w:rStyle w:val="Hyperlink"/>
            <w:sz w:val="22"/>
            <w:szCs w:val="22"/>
          </w:rPr>
          <w:t>School Canteens and Other School Food Services Policy</w:t>
        </w:r>
      </w:hyperlink>
      <w:r w:rsidRPr="00B61B7A">
        <w:rPr>
          <w:rStyle w:val="Hyperlink"/>
          <w:color w:val="auto"/>
          <w:sz w:val="22"/>
          <w:szCs w:val="22"/>
          <w:u w:val="none"/>
        </w:rPr>
        <w:t xml:space="preserve">), the availability of discretionary food and drinks (refer to appendix) </w:t>
      </w:r>
      <w:r w:rsidR="005E58B8">
        <w:rPr>
          <w:rStyle w:val="Hyperlink"/>
          <w:color w:val="auto"/>
          <w:sz w:val="22"/>
          <w:szCs w:val="22"/>
          <w:u w:val="none"/>
        </w:rPr>
        <w:t>is</w:t>
      </w:r>
      <w:r w:rsidRPr="00B61B7A">
        <w:rPr>
          <w:rStyle w:val="Hyperlink"/>
          <w:color w:val="auto"/>
          <w:sz w:val="22"/>
          <w:szCs w:val="22"/>
          <w:u w:val="none"/>
        </w:rPr>
        <w:t xml:space="preserve"> limited to no more than two occasions per term</w:t>
      </w:r>
      <w:r>
        <w:rPr>
          <w:rStyle w:val="Hyperlink"/>
          <w:color w:val="auto"/>
          <w:sz w:val="22"/>
          <w:szCs w:val="22"/>
          <w:u w:val="none"/>
        </w:rPr>
        <w:t>.</w:t>
      </w:r>
    </w:p>
    <w:p w14:paraId="392620B6" w14:textId="4A3D9F84" w:rsidR="00677343" w:rsidRDefault="006D7B61" w:rsidP="00C268A1">
      <w:pPr>
        <w:pStyle w:val="ListParagraph"/>
        <w:numPr>
          <w:ilvl w:val="0"/>
          <w:numId w:val="20"/>
        </w:numPr>
      </w:pPr>
      <w:r>
        <w:t>T</w:t>
      </w:r>
      <w:r w:rsidR="004438AB" w:rsidRPr="004674AD">
        <w:t xml:space="preserve">he school </w:t>
      </w:r>
      <w:r w:rsidR="00F00CB1">
        <w:t xml:space="preserve">actively </w:t>
      </w:r>
      <w:r w:rsidR="004438AB" w:rsidRPr="004674AD">
        <w:t>promote</w:t>
      </w:r>
      <w:r w:rsidR="00F00CB1">
        <w:t>s</w:t>
      </w:r>
      <w:r w:rsidR="004438AB" w:rsidRPr="004674AD">
        <w:t xml:space="preserve"> </w:t>
      </w:r>
      <w:r>
        <w:t xml:space="preserve">a range of </w:t>
      </w:r>
      <w:r w:rsidR="004438AB" w:rsidRPr="004674AD">
        <w:t>positive ways to celebrate children’s birthdays</w:t>
      </w:r>
      <w:r>
        <w:t xml:space="preserve"> in class</w:t>
      </w:r>
      <w:r w:rsidR="00055E70">
        <w:t xml:space="preserve"> in an equitable way</w:t>
      </w:r>
      <w:r>
        <w:t xml:space="preserve">. </w:t>
      </w:r>
      <w:r w:rsidR="00F74013">
        <w:t>While the school does not encourage parents to do so, i</w:t>
      </w:r>
      <w:r w:rsidR="00F07CAE">
        <w:t xml:space="preserve">f parents choose to </w:t>
      </w:r>
      <w:r w:rsidR="00677343" w:rsidRPr="004674AD">
        <w:t>supply foods to celebrate student birthdays</w:t>
      </w:r>
      <w:r w:rsidR="0034074A">
        <w:t xml:space="preserve"> in class</w:t>
      </w:r>
      <w:r w:rsidR="00F07CAE">
        <w:t>, these should be limited to one small item for each child in the clas</w:t>
      </w:r>
      <w:r w:rsidR="00C268A1">
        <w:t>s.</w:t>
      </w:r>
      <w:r w:rsidR="0062231B">
        <w:t xml:space="preserve"> </w:t>
      </w:r>
    </w:p>
    <w:p w14:paraId="01DA9801" w14:textId="77777777" w:rsidR="00B61B7A" w:rsidRPr="00D1146C" w:rsidRDefault="00B61B7A" w:rsidP="00B61B7A">
      <w:pPr>
        <w:pStyle w:val="HTVbody"/>
        <w:spacing w:after="0" w:line="276" w:lineRule="auto"/>
        <w:ind w:left="360"/>
        <w:rPr>
          <w:sz w:val="22"/>
          <w:szCs w:val="22"/>
        </w:rPr>
      </w:pPr>
    </w:p>
    <w:p w14:paraId="22B80FBA" w14:textId="1C7EF89C" w:rsidR="00B61B7A" w:rsidRPr="00220FD7" w:rsidRDefault="007300B4" w:rsidP="00B61B7A">
      <w:pPr>
        <w:pStyle w:val="HTVbody"/>
        <w:spacing w:after="0" w:line="276" w:lineRule="auto"/>
        <w:rPr>
          <w:rFonts w:eastAsia="Arial" w:cs="Arial"/>
          <w:bCs/>
          <w:i/>
          <w:iCs/>
          <w:sz w:val="22"/>
          <w:szCs w:val="22"/>
          <w:lang w:val="en" w:eastAsia="en-AU"/>
        </w:rPr>
      </w:pPr>
      <w:r>
        <w:rPr>
          <w:rFonts w:eastAsia="Arial" w:cs="Arial"/>
          <w:bCs/>
          <w:i/>
          <w:iCs/>
          <w:sz w:val="22"/>
          <w:szCs w:val="22"/>
          <w:lang w:val="en" w:eastAsia="en-AU"/>
        </w:rPr>
        <w:t>6.</w:t>
      </w:r>
      <w:r w:rsidR="00B61B7A">
        <w:rPr>
          <w:rFonts w:eastAsia="Arial" w:cs="Arial"/>
          <w:bCs/>
          <w:i/>
          <w:iCs/>
          <w:sz w:val="22"/>
          <w:szCs w:val="22"/>
          <w:lang w:val="en" w:eastAsia="en-AU"/>
        </w:rPr>
        <w:t>5.</w:t>
      </w:r>
      <w:r>
        <w:rPr>
          <w:rFonts w:eastAsia="Arial" w:cs="Arial"/>
          <w:bCs/>
          <w:i/>
          <w:iCs/>
          <w:sz w:val="22"/>
          <w:szCs w:val="22"/>
          <w:lang w:val="en" w:eastAsia="en-AU"/>
        </w:rPr>
        <w:t>3</w:t>
      </w:r>
      <w:r w:rsidR="00B61B7A">
        <w:rPr>
          <w:rFonts w:eastAsia="Arial" w:cs="Arial"/>
          <w:bCs/>
          <w:i/>
          <w:iCs/>
          <w:sz w:val="22"/>
          <w:szCs w:val="22"/>
          <w:lang w:val="en" w:eastAsia="en-AU"/>
        </w:rPr>
        <w:t xml:space="preserve"> Other healthy practices</w:t>
      </w:r>
    </w:p>
    <w:p w14:paraId="55CB8375" w14:textId="77777777" w:rsidR="0062231B" w:rsidRDefault="0062231B" w:rsidP="0062231B">
      <w:pPr>
        <w:pStyle w:val="ListParagraph"/>
        <w:numPr>
          <w:ilvl w:val="0"/>
          <w:numId w:val="20"/>
        </w:numPr>
      </w:pPr>
      <w:r w:rsidRPr="009D6949">
        <w:t>Oral hygiene practices are promoted and undertaken at the school where appropriate.</w:t>
      </w:r>
    </w:p>
    <w:p w14:paraId="7B7F08A0" w14:textId="77777777" w:rsidR="0062231B" w:rsidRDefault="0062231B" w:rsidP="0062231B">
      <w:pPr>
        <w:pStyle w:val="ListParagraph"/>
        <w:numPr>
          <w:ilvl w:val="0"/>
          <w:numId w:val="20"/>
        </w:numPr>
      </w:pPr>
      <w:r>
        <w:t>Safe food handling practices are followed, including safe procedures for food storage, handling, preparation and disposal and food safety training.</w:t>
      </w:r>
    </w:p>
    <w:p w14:paraId="537ADC42" w14:textId="77777777" w:rsidR="0062231B" w:rsidRDefault="0062231B" w:rsidP="0062231B">
      <w:pPr>
        <w:pStyle w:val="ListParagraph"/>
        <w:numPr>
          <w:ilvl w:val="0"/>
          <w:numId w:val="20"/>
        </w:numPr>
      </w:pPr>
      <w:r w:rsidRPr="00D56AF6">
        <w:t>Safety practices, such as mouth guards, are implemented for contact sports</w:t>
      </w:r>
      <w:r>
        <w:t>, as appropriate</w:t>
      </w:r>
      <w:r w:rsidRPr="00D56AF6">
        <w:t>.</w:t>
      </w:r>
    </w:p>
    <w:p w14:paraId="36D2836D" w14:textId="3CA21EF4" w:rsidR="0062231B" w:rsidRDefault="0062231B" w:rsidP="0062231B">
      <w:pPr>
        <w:pStyle w:val="ListParagraph"/>
        <w:numPr>
          <w:ilvl w:val="0"/>
          <w:numId w:val="20"/>
        </w:numPr>
      </w:pPr>
      <w:r>
        <w:t>S</w:t>
      </w:r>
      <w:r w:rsidRPr="009D2E7F">
        <w:t xml:space="preserve">tudents </w:t>
      </w:r>
      <w:r>
        <w:t xml:space="preserve">are encouraged </w:t>
      </w:r>
      <w:r w:rsidRPr="009D2E7F">
        <w:t>to eat a healthy breakfast</w:t>
      </w:r>
      <w:r>
        <w:t xml:space="preserve"> prior to coming to school.</w:t>
      </w:r>
    </w:p>
    <w:p w14:paraId="731353B4" w14:textId="199D2339" w:rsidR="0062231B" w:rsidRDefault="0062231B" w:rsidP="0062231B">
      <w:pPr>
        <w:pStyle w:val="ListParagraph"/>
        <w:numPr>
          <w:ilvl w:val="0"/>
          <w:numId w:val="20"/>
        </w:numPr>
      </w:pPr>
      <w:r w:rsidRPr="009D6949">
        <w:lastRenderedPageBreak/>
        <w:t>Food, drinks or food vouchers are not used as incentive</w:t>
      </w:r>
      <w:r>
        <w:t>s</w:t>
      </w:r>
      <w:r w:rsidRPr="009D6949">
        <w:t xml:space="preserve"> or reward</w:t>
      </w:r>
      <w:r>
        <w:t>s</w:t>
      </w:r>
      <w:r w:rsidRPr="009D6949">
        <w:t>.</w:t>
      </w:r>
    </w:p>
    <w:p w14:paraId="4166FCE2" w14:textId="4FACDB85" w:rsidR="00055E70" w:rsidRPr="00D1146C" w:rsidRDefault="000F68C8" w:rsidP="005C567E">
      <w:pPr>
        <w:pStyle w:val="ListParagraph"/>
        <w:numPr>
          <w:ilvl w:val="0"/>
          <w:numId w:val="20"/>
        </w:numPr>
        <w:rPr>
          <w:b/>
        </w:rPr>
      </w:pPr>
      <w:r w:rsidRPr="00DF65BD">
        <w:t xml:space="preserve">A variety of food and non-food options </w:t>
      </w:r>
      <w:r>
        <w:t>are</w:t>
      </w:r>
      <w:r w:rsidRPr="00DF65BD">
        <w:t xml:space="preserve"> considered for major fundraising activities, with discretionary foods and drinks </w:t>
      </w:r>
      <w:r w:rsidR="00790318">
        <w:t xml:space="preserve">(refer to appendix) </w:t>
      </w:r>
      <w:r w:rsidR="00CB7CF9">
        <w:t>and/</w:t>
      </w:r>
      <w:r w:rsidR="00790318">
        <w:t>or related brands NOT</w:t>
      </w:r>
      <w:r w:rsidRPr="00DF65BD">
        <w:t xml:space="preserve"> used </w:t>
      </w:r>
      <w:r w:rsidR="00CB7CF9">
        <w:t xml:space="preserve">or promoted </w:t>
      </w:r>
      <w:r w:rsidR="00790318">
        <w:t>as part of major fundraising events (</w:t>
      </w:r>
      <w:proofErr w:type="spellStart"/>
      <w:r w:rsidR="00790318">
        <w:t>eg.</w:t>
      </w:r>
      <w:proofErr w:type="spellEnd"/>
      <w:r w:rsidR="00790318">
        <w:t xml:space="preserve"> chocolate drives).</w:t>
      </w:r>
    </w:p>
    <w:p w14:paraId="19E5B8D6" w14:textId="77777777" w:rsidR="00DF65BD" w:rsidRPr="000A3E6F" w:rsidRDefault="00DF65BD" w:rsidP="000A3E6F">
      <w:pPr>
        <w:rPr>
          <w:b/>
        </w:rPr>
      </w:pPr>
    </w:p>
    <w:p w14:paraId="4D86F933" w14:textId="7DAD748F" w:rsidR="004E359C" w:rsidRPr="00C442D3" w:rsidRDefault="002E6317" w:rsidP="00127D7A">
      <w:pPr>
        <w:pStyle w:val="HTVbody"/>
        <w:spacing w:after="0" w:line="240" w:lineRule="auto"/>
        <w:rPr>
          <w:rFonts w:eastAsia="Arial" w:cs="Arial"/>
          <w:b/>
          <w:sz w:val="22"/>
          <w:szCs w:val="22"/>
          <w:lang w:val="en" w:eastAsia="en-AU"/>
        </w:rPr>
      </w:pPr>
      <w:r>
        <w:rPr>
          <w:rFonts w:eastAsia="Arial" w:cs="Arial"/>
          <w:b/>
          <w:sz w:val="22"/>
          <w:szCs w:val="22"/>
          <w:lang w:val="en" w:eastAsia="en-AU"/>
        </w:rPr>
        <w:t>6</w:t>
      </w:r>
      <w:r w:rsidR="00C86025">
        <w:rPr>
          <w:rFonts w:eastAsia="Arial" w:cs="Arial"/>
          <w:b/>
          <w:sz w:val="22"/>
          <w:szCs w:val="22"/>
          <w:lang w:val="en" w:eastAsia="en-AU"/>
        </w:rPr>
        <w:t>.</w:t>
      </w:r>
      <w:r>
        <w:rPr>
          <w:rFonts w:eastAsia="Arial" w:cs="Arial"/>
          <w:b/>
          <w:sz w:val="22"/>
          <w:szCs w:val="22"/>
          <w:lang w:val="en" w:eastAsia="en-AU"/>
        </w:rPr>
        <w:t>6</w:t>
      </w:r>
      <w:r w:rsidR="00C86025">
        <w:rPr>
          <w:rFonts w:eastAsia="Arial" w:cs="Arial"/>
          <w:b/>
          <w:sz w:val="22"/>
          <w:szCs w:val="22"/>
          <w:lang w:val="en" w:eastAsia="en-AU"/>
        </w:rPr>
        <w:t xml:space="preserve"> </w:t>
      </w:r>
      <w:r w:rsidR="004E359C" w:rsidRPr="00C442D3">
        <w:rPr>
          <w:rFonts w:eastAsia="Arial" w:cs="Arial"/>
          <w:b/>
          <w:sz w:val="22"/>
          <w:szCs w:val="22"/>
          <w:lang w:val="en" w:eastAsia="en-AU"/>
        </w:rPr>
        <w:t>Supported staff</w:t>
      </w:r>
    </w:p>
    <w:p w14:paraId="4E1306FF" w14:textId="77777777" w:rsidR="004E359C" w:rsidRPr="009D6949" w:rsidRDefault="004E359C" w:rsidP="00C442D3">
      <w:pPr>
        <w:pStyle w:val="ListParagraph"/>
        <w:numPr>
          <w:ilvl w:val="0"/>
          <w:numId w:val="20"/>
        </w:numPr>
      </w:pPr>
      <w:r w:rsidRPr="009D6949">
        <w:t>Staff are supported to consume healthy food and drinks and maintain good oral health practices at work.</w:t>
      </w:r>
    </w:p>
    <w:p w14:paraId="4B004CF0" w14:textId="68E22382" w:rsidR="004E359C" w:rsidRPr="009D6949" w:rsidRDefault="004E359C" w:rsidP="00C442D3">
      <w:pPr>
        <w:pStyle w:val="ListParagraph"/>
        <w:numPr>
          <w:ilvl w:val="0"/>
          <w:numId w:val="20"/>
        </w:numPr>
      </w:pPr>
      <w:r w:rsidRPr="009D6949">
        <w:t>Healthy eating and oral health information and policy requirements are included in staff orientation</w:t>
      </w:r>
      <w:r w:rsidR="00055E70">
        <w:t xml:space="preserve"> </w:t>
      </w:r>
      <w:r w:rsidRPr="009D6949">
        <w:t>/</w:t>
      </w:r>
      <w:r w:rsidR="00055E70">
        <w:t xml:space="preserve"> </w:t>
      </w:r>
      <w:r w:rsidRPr="009D6949">
        <w:t>induction.</w:t>
      </w:r>
    </w:p>
    <w:p w14:paraId="46E82319" w14:textId="77777777" w:rsidR="00C86025" w:rsidRPr="009F4259" w:rsidRDefault="00C86025" w:rsidP="00C02D74">
      <w:pPr>
        <w:rPr>
          <w:sz w:val="20"/>
          <w:szCs w:val="20"/>
        </w:rPr>
      </w:pPr>
    </w:p>
    <w:p w14:paraId="702CC483" w14:textId="49335ECF" w:rsidR="004E359C" w:rsidRPr="00805FE9" w:rsidRDefault="00C86025" w:rsidP="00805FE9">
      <w:pPr>
        <w:rPr>
          <w:b/>
          <w:bCs/>
        </w:rPr>
      </w:pPr>
      <w:r w:rsidRPr="00C86025">
        <w:rPr>
          <w:b/>
          <w:bCs/>
        </w:rPr>
        <w:t>6</w:t>
      </w:r>
      <w:r w:rsidR="002E6317">
        <w:rPr>
          <w:b/>
          <w:bCs/>
        </w:rPr>
        <w:t>.7</w:t>
      </w:r>
      <w:r w:rsidRPr="00C86025">
        <w:rPr>
          <w:b/>
          <w:bCs/>
        </w:rPr>
        <w:t xml:space="preserve"> </w:t>
      </w:r>
      <w:r w:rsidR="00BA38CD">
        <w:rPr>
          <w:b/>
          <w:bCs/>
        </w:rPr>
        <w:t>Support</w:t>
      </w:r>
      <w:r w:rsidR="00C04D72">
        <w:rPr>
          <w:b/>
          <w:bCs/>
        </w:rPr>
        <w:t xml:space="preserve"> for</w:t>
      </w:r>
      <w:r w:rsidR="00BA38CD">
        <w:rPr>
          <w:b/>
          <w:bCs/>
        </w:rPr>
        <w:t xml:space="preserve"> f</w:t>
      </w:r>
      <w:r w:rsidR="004E359C" w:rsidRPr="00C86025">
        <w:rPr>
          <w:b/>
          <w:bCs/>
        </w:rPr>
        <w:t>amilies and community partnerships</w:t>
      </w:r>
    </w:p>
    <w:p w14:paraId="3BC8C34A" w14:textId="183B7AA1" w:rsidR="00BA38CD" w:rsidRDefault="00BA38CD" w:rsidP="00BA38CD">
      <w:pPr>
        <w:pStyle w:val="ListParagraph"/>
        <w:numPr>
          <w:ilvl w:val="0"/>
          <w:numId w:val="20"/>
        </w:numPr>
      </w:pPr>
      <w:r>
        <w:t xml:space="preserve">Staff inform the </w:t>
      </w:r>
      <w:proofErr w:type="gramStart"/>
      <w:r w:rsidR="00623757">
        <w:t>P</w:t>
      </w:r>
      <w:r>
        <w:t>rincipal</w:t>
      </w:r>
      <w:proofErr w:type="gramEnd"/>
      <w:r>
        <w:t xml:space="preserve"> of students who appear to be provided with </w:t>
      </w:r>
      <w:r w:rsidR="00483F6D">
        <w:t xml:space="preserve">an </w:t>
      </w:r>
      <w:r>
        <w:t xml:space="preserve">inadequate </w:t>
      </w:r>
      <w:r w:rsidR="00483F6D">
        <w:t xml:space="preserve">quantity of food for </w:t>
      </w:r>
      <w:r>
        <w:t>lunch. When children come to school without lunch they have access to healthy food in a manner that is supportive and non-</w:t>
      </w:r>
      <w:proofErr w:type="spellStart"/>
      <w:r>
        <w:t>stigmatising</w:t>
      </w:r>
      <w:proofErr w:type="spellEnd"/>
      <w:r>
        <w:t>. Where appropriate, the Principal investigate</w:t>
      </w:r>
      <w:r w:rsidR="00861A3E">
        <w:t>s</w:t>
      </w:r>
      <w:r>
        <w:t xml:space="preserve"> strategies with the family (and relevant services) to address food insecurity and support.</w:t>
      </w:r>
    </w:p>
    <w:p w14:paraId="44423A70" w14:textId="0A750CA9" w:rsidR="00BA38CD" w:rsidRPr="009D6949" w:rsidRDefault="00BA38CD" w:rsidP="00713971">
      <w:pPr>
        <w:pStyle w:val="ListParagraph"/>
        <w:numPr>
          <w:ilvl w:val="0"/>
          <w:numId w:val="20"/>
        </w:numPr>
      </w:pPr>
      <w:r w:rsidRPr="00BA38CD">
        <w:t xml:space="preserve">Teachers with concerns about </w:t>
      </w:r>
      <w:r w:rsidR="0034074A">
        <w:t xml:space="preserve">any aspect of </w:t>
      </w:r>
      <w:r w:rsidRPr="00BA38CD">
        <w:t xml:space="preserve">students’ lunches work sensitively and respectfully in partnership with the Principal and parents to address concerns. </w:t>
      </w:r>
    </w:p>
    <w:p w14:paraId="007BD4E6" w14:textId="77777777" w:rsidR="004E359C" w:rsidRPr="009D6949" w:rsidRDefault="004E359C" w:rsidP="00C442D3">
      <w:pPr>
        <w:pStyle w:val="ListParagraph"/>
        <w:numPr>
          <w:ilvl w:val="0"/>
          <w:numId w:val="20"/>
        </w:numPr>
      </w:pPr>
      <w:r w:rsidRPr="009D6949">
        <w:t>Partnerships are established with relevant organisations and health professionals to support healthy eating and oral health practices where appropriate</w:t>
      </w:r>
      <w:r>
        <w:t>.</w:t>
      </w:r>
    </w:p>
    <w:p w14:paraId="43722A10" w14:textId="4679240B" w:rsidR="00623757" w:rsidRPr="009F4259" w:rsidRDefault="00623757">
      <w:pPr>
        <w:rPr>
          <w:b/>
          <w:sz w:val="20"/>
          <w:szCs w:val="20"/>
        </w:rPr>
      </w:pPr>
    </w:p>
    <w:p w14:paraId="00000042" w14:textId="2B38189F" w:rsidR="00382680" w:rsidRPr="0027190F" w:rsidRDefault="002E6317" w:rsidP="0027190F">
      <w:pPr>
        <w:rPr>
          <w:b/>
        </w:rPr>
      </w:pPr>
      <w:r>
        <w:rPr>
          <w:b/>
        </w:rPr>
        <w:t>7</w:t>
      </w:r>
      <w:r w:rsidR="0027190F">
        <w:rPr>
          <w:b/>
        </w:rPr>
        <w:t xml:space="preserve">. </w:t>
      </w:r>
      <w:r w:rsidR="000750BF" w:rsidRPr="0027190F">
        <w:rPr>
          <w:b/>
        </w:rPr>
        <w:t>Resources</w:t>
      </w:r>
    </w:p>
    <w:p w14:paraId="1076DC7F" w14:textId="3E23584C" w:rsidR="00C86025" w:rsidRPr="00127D7A" w:rsidRDefault="00C86025">
      <w:pPr>
        <w:rPr>
          <w:sz w:val="6"/>
          <w:szCs w:val="6"/>
        </w:rPr>
      </w:pPr>
    </w:p>
    <w:p w14:paraId="74CE80A6" w14:textId="25F983E2" w:rsidR="00C86025" w:rsidRPr="00C86025" w:rsidRDefault="002E6317" w:rsidP="00C86025">
      <w:pPr>
        <w:rPr>
          <w:b/>
          <w:bCs/>
        </w:rPr>
      </w:pPr>
      <w:r>
        <w:rPr>
          <w:b/>
          <w:bCs/>
        </w:rPr>
        <w:t>7</w:t>
      </w:r>
      <w:r w:rsidR="00C86025" w:rsidRPr="00C86025">
        <w:rPr>
          <w:b/>
          <w:bCs/>
        </w:rPr>
        <w:t>.1 Relevant legislation and policy documents</w:t>
      </w:r>
    </w:p>
    <w:p w14:paraId="312A605C" w14:textId="77777777" w:rsidR="00C86025" w:rsidRPr="00C86025" w:rsidRDefault="00C86025" w:rsidP="00EF4047">
      <w:pPr>
        <w:pStyle w:val="APbullet1"/>
        <w:numPr>
          <w:ilvl w:val="0"/>
          <w:numId w:val="25"/>
        </w:numPr>
        <w:spacing w:after="0" w:line="276" w:lineRule="auto"/>
        <w:ind w:left="357" w:hanging="357"/>
        <w:rPr>
          <w:rStyle w:val="Hyperlink"/>
          <w:rFonts w:cs="Arial"/>
          <w:sz w:val="22"/>
          <w:szCs w:val="22"/>
        </w:rPr>
      </w:pPr>
      <w:r w:rsidRPr="00C86025">
        <w:rPr>
          <w:sz w:val="22"/>
          <w:szCs w:val="22"/>
        </w:rPr>
        <w:fldChar w:fldCharType="begin"/>
      </w:r>
      <w:r w:rsidRPr="00C86025">
        <w:rPr>
          <w:sz w:val="22"/>
          <w:szCs w:val="22"/>
        </w:rPr>
        <w:instrText xml:space="preserve"> HYPERLINK "http://www.education.vic.gov.au/Documents/school/principals/management/gfylpolicy.pdf" </w:instrText>
      </w:r>
      <w:r w:rsidRPr="00C86025">
        <w:rPr>
          <w:sz w:val="22"/>
          <w:szCs w:val="22"/>
        </w:rPr>
      </w:r>
      <w:r w:rsidRPr="00C86025">
        <w:rPr>
          <w:sz w:val="22"/>
          <w:szCs w:val="22"/>
        </w:rPr>
        <w:fldChar w:fldCharType="separate"/>
      </w:r>
      <w:r w:rsidRPr="00C86025">
        <w:rPr>
          <w:rStyle w:val="Hyperlink"/>
          <w:rFonts w:cs="Arial"/>
          <w:sz w:val="22"/>
          <w:szCs w:val="22"/>
        </w:rPr>
        <w:t xml:space="preserve">School Canteens and Other School Food Services Policy </w:t>
      </w:r>
    </w:p>
    <w:p w14:paraId="41BF6D3B" w14:textId="77777777" w:rsidR="00C86025" w:rsidRPr="00C86025" w:rsidRDefault="00C86025" w:rsidP="00EF4047">
      <w:pPr>
        <w:pStyle w:val="APbullet1"/>
        <w:numPr>
          <w:ilvl w:val="0"/>
          <w:numId w:val="25"/>
        </w:numPr>
        <w:spacing w:after="0" w:line="276" w:lineRule="auto"/>
        <w:ind w:left="357" w:hanging="357"/>
        <w:rPr>
          <w:rStyle w:val="Hyperlink"/>
          <w:sz w:val="22"/>
          <w:szCs w:val="22"/>
        </w:rPr>
      </w:pPr>
      <w:r w:rsidRPr="00C86025">
        <w:rPr>
          <w:sz w:val="22"/>
          <w:szCs w:val="22"/>
        </w:rPr>
        <w:fldChar w:fldCharType="end"/>
      </w:r>
      <w:r w:rsidRPr="00CE0A29">
        <w:rPr>
          <w:rFonts w:cs="Arial"/>
          <w:sz w:val="22"/>
          <w:szCs w:val="22"/>
        </w:rPr>
        <w:fldChar w:fldCharType="begin"/>
      </w:r>
      <w:r w:rsidRPr="00C86025">
        <w:rPr>
          <w:rFonts w:cs="Arial"/>
          <w:sz w:val="22"/>
          <w:szCs w:val="22"/>
        </w:rPr>
        <w:instrText xml:space="preserve"> HYPERLINK "https://www.nhmrc.gov.au/about-us/publications/australian-dietary-guidelines" </w:instrText>
      </w:r>
      <w:r w:rsidRPr="00CE0A29">
        <w:rPr>
          <w:rFonts w:cs="Arial"/>
          <w:sz w:val="22"/>
          <w:szCs w:val="22"/>
        </w:rPr>
      </w:r>
      <w:r w:rsidRPr="00CE0A29">
        <w:rPr>
          <w:rFonts w:cs="Arial"/>
          <w:sz w:val="22"/>
          <w:szCs w:val="22"/>
        </w:rPr>
        <w:fldChar w:fldCharType="separate"/>
      </w:r>
      <w:r w:rsidRPr="00C86025">
        <w:rPr>
          <w:rStyle w:val="Hyperlink"/>
          <w:rFonts w:cs="Arial"/>
          <w:sz w:val="22"/>
          <w:szCs w:val="22"/>
        </w:rPr>
        <w:t xml:space="preserve">National Health and Medical Research Council, Australian Dietary Guidelines </w:t>
      </w:r>
    </w:p>
    <w:p w14:paraId="723A779F" w14:textId="660BA530" w:rsidR="00C86025" w:rsidRPr="00CE0A29" w:rsidRDefault="00C86025" w:rsidP="002E72BA">
      <w:pPr>
        <w:pStyle w:val="APbullet1"/>
        <w:numPr>
          <w:ilvl w:val="0"/>
          <w:numId w:val="25"/>
        </w:numPr>
        <w:spacing w:after="0" w:line="276" w:lineRule="auto"/>
        <w:ind w:left="357" w:hanging="357"/>
        <w:rPr>
          <w:rStyle w:val="Hyperlink"/>
          <w:sz w:val="22"/>
          <w:szCs w:val="22"/>
        </w:rPr>
      </w:pPr>
      <w:r w:rsidRPr="00CE0A29">
        <w:rPr>
          <w:rFonts w:cs="Arial"/>
          <w:sz w:val="22"/>
          <w:szCs w:val="22"/>
        </w:rPr>
        <w:fldChar w:fldCharType="end"/>
      </w:r>
      <w:hyperlink r:id="rId17" w:history="1">
        <w:r w:rsidRPr="00CE0A29">
          <w:rPr>
            <w:rStyle w:val="Hyperlink"/>
            <w:sz w:val="22"/>
            <w:szCs w:val="22"/>
          </w:rPr>
          <w:t>Oral Health Messages for the Australian Public</w:t>
        </w:r>
      </w:hyperlink>
    </w:p>
    <w:p w14:paraId="480C084C" w14:textId="794132A9" w:rsidR="00C86025" w:rsidRPr="00CE0A29" w:rsidRDefault="00CE0A29" w:rsidP="00EF4047">
      <w:pPr>
        <w:pStyle w:val="APbullet1"/>
        <w:numPr>
          <w:ilvl w:val="0"/>
          <w:numId w:val="25"/>
        </w:numPr>
        <w:spacing w:after="0" w:line="276" w:lineRule="auto"/>
        <w:ind w:left="357" w:hanging="357"/>
        <w:rPr>
          <w:rStyle w:val="Hyperlink"/>
          <w:sz w:val="22"/>
          <w:szCs w:val="22"/>
        </w:rPr>
      </w:pPr>
      <w:r>
        <w:rPr>
          <w:sz w:val="22"/>
          <w:szCs w:val="22"/>
        </w:rPr>
        <w:fldChar w:fldCharType="begin"/>
      </w:r>
      <w:r>
        <w:rPr>
          <w:sz w:val="22"/>
          <w:szCs w:val="22"/>
        </w:rPr>
        <w:instrText xml:space="preserve"> HYPERLINK "https://www.education.vic.gov.au/Documents/school/principals/management/gfylmanfoodsaf.pdf" </w:instrText>
      </w:r>
      <w:r>
        <w:rPr>
          <w:sz w:val="22"/>
          <w:szCs w:val="22"/>
        </w:rPr>
      </w:r>
      <w:r>
        <w:rPr>
          <w:sz w:val="22"/>
          <w:szCs w:val="22"/>
        </w:rPr>
        <w:fldChar w:fldCharType="separate"/>
      </w:r>
      <w:r w:rsidR="00C86025" w:rsidRPr="00CE0A29">
        <w:rPr>
          <w:rStyle w:val="Hyperlink"/>
          <w:sz w:val="22"/>
          <w:szCs w:val="22"/>
        </w:rPr>
        <w:t>Safe Food Handling</w:t>
      </w:r>
    </w:p>
    <w:p w14:paraId="10A71711" w14:textId="38BAF076" w:rsidR="00C86025" w:rsidRPr="00C86025" w:rsidRDefault="00CE0A29" w:rsidP="00EF4047">
      <w:pPr>
        <w:pStyle w:val="APbullet1"/>
        <w:numPr>
          <w:ilvl w:val="0"/>
          <w:numId w:val="25"/>
        </w:numPr>
        <w:spacing w:after="0" w:line="276" w:lineRule="auto"/>
        <w:ind w:left="357" w:hanging="357"/>
        <w:rPr>
          <w:sz w:val="22"/>
          <w:szCs w:val="22"/>
          <w:lang w:eastAsia="en-AU"/>
        </w:rPr>
      </w:pPr>
      <w:r>
        <w:rPr>
          <w:sz w:val="22"/>
          <w:szCs w:val="22"/>
        </w:rPr>
        <w:fldChar w:fldCharType="end"/>
      </w:r>
      <w:hyperlink r:id="rId18" w:history="1">
        <w:r w:rsidR="00C86025" w:rsidRPr="00C86025">
          <w:rPr>
            <w:rStyle w:val="Hyperlink"/>
            <w:rFonts w:cs="Arial"/>
            <w:sz w:val="22"/>
            <w:szCs w:val="22"/>
            <w:lang w:eastAsia="en-AU"/>
          </w:rPr>
          <w:t>Section 2.3.5 of the Education and Training Reform Act 2006</w:t>
        </w:r>
      </w:hyperlink>
    </w:p>
    <w:p w14:paraId="752C9747" w14:textId="77777777" w:rsidR="00C86025" w:rsidRPr="00C86025" w:rsidRDefault="00000000" w:rsidP="00EF4047">
      <w:pPr>
        <w:pStyle w:val="APbullet1"/>
        <w:numPr>
          <w:ilvl w:val="0"/>
          <w:numId w:val="25"/>
        </w:numPr>
        <w:spacing w:after="0" w:line="276" w:lineRule="auto"/>
        <w:ind w:left="357" w:hanging="357"/>
        <w:rPr>
          <w:sz w:val="22"/>
          <w:szCs w:val="22"/>
          <w:lang w:eastAsia="en-AU"/>
        </w:rPr>
      </w:pPr>
      <w:hyperlink r:id="rId19" w:history="1">
        <w:r w:rsidR="00C86025" w:rsidRPr="00C86025">
          <w:rPr>
            <w:rStyle w:val="Hyperlink"/>
            <w:rFonts w:cs="Arial"/>
            <w:sz w:val="22"/>
            <w:szCs w:val="22"/>
            <w:lang w:eastAsia="en-AU"/>
          </w:rPr>
          <w:t>Food Act 1984</w:t>
        </w:r>
      </w:hyperlink>
    </w:p>
    <w:p w14:paraId="073FA7FE" w14:textId="77777777" w:rsidR="00C86025" w:rsidRPr="009F4259" w:rsidRDefault="00C86025" w:rsidP="00EF4047">
      <w:pPr>
        <w:pStyle w:val="HTVbody"/>
        <w:spacing w:after="0" w:line="276" w:lineRule="auto"/>
        <w:rPr>
          <w:sz w:val="20"/>
          <w:szCs w:val="20"/>
        </w:rPr>
      </w:pPr>
    </w:p>
    <w:p w14:paraId="301C7F9C" w14:textId="2B90E0A4" w:rsidR="00C86025" w:rsidRPr="00C86025" w:rsidRDefault="002E6317" w:rsidP="00EF4047">
      <w:pPr>
        <w:rPr>
          <w:b/>
          <w:bCs/>
        </w:rPr>
      </w:pPr>
      <w:r>
        <w:rPr>
          <w:b/>
          <w:bCs/>
        </w:rPr>
        <w:t>7</w:t>
      </w:r>
      <w:r w:rsidR="00C86025" w:rsidRPr="00C86025">
        <w:rPr>
          <w:b/>
          <w:bCs/>
        </w:rPr>
        <w:t>.2 Related school policies</w:t>
      </w:r>
    </w:p>
    <w:p w14:paraId="670E5305" w14:textId="724C8131" w:rsidR="00C86025" w:rsidRPr="00EF4047" w:rsidRDefault="00C86025" w:rsidP="00EF4047">
      <w:pPr>
        <w:pStyle w:val="APbullet1"/>
        <w:numPr>
          <w:ilvl w:val="0"/>
          <w:numId w:val="26"/>
        </w:numPr>
        <w:spacing w:after="0" w:line="276" w:lineRule="auto"/>
        <w:rPr>
          <w:sz w:val="22"/>
          <w:szCs w:val="22"/>
        </w:rPr>
      </w:pPr>
      <w:r w:rsidRPr="00EF4047">
        <w:rPr>
          <w:sz w:val="22"/>
          <w:szCs w:val="22"/>
        </w:rPr>
        <w:t>Anaphylaxis</w:t>
      </w:r>
      <w:r w:rsidR="00EF4047">
        <w:rPr>
          <w:sz w:val="22"/>
          <w:szCs w:val="22"/>
        </w:rPr>
        <w:t xml:space="preserve"> Policy</w:t>
      </w:r>
      <w:r w:rsidRPr="00EF4047">
        <w:rPr>
          <w:sz w:val="22"/>
          <w:szCs w:val="22"/>
        </w:rPr>
        <w:t xml:space="preserve"> </w:t>
      </w:r>
    </w:p>
    <w:p w14:paraId="2B93E2F9" w14:textId="2AE01BBD" w:rsidR="00C86025" w:rsidRDefault="00EF4047" w:rsidP="00EF4047">
      <w:pPr>
        <w:pStyle w:val="APbullet1"/>
        <w:numPr>
          <w:ilvl w:val="0"/>
          <w:numId w:val="26"/>
        </w:numPr>
        <w:spacing w:after="0" w:line="276" w:lineRule="auto"/>
        <w:rPr>
          <w:sz w:val="22"/>
          <w:szCs w:val="22"/>
        </w:rPr>
      </w:pPr>
      <w:r>
        <w:rPr>
          <w:sz w:val="22"/>
          <w:szCs w:val="22"/>
        </w:rPr>
        <w:t>Sustainability Policy</w:t>
      </w:r>
    </w:p>
    <w:p w14:paraId="5019D1D3" w14:textId="08CB66C8" w:rsidR="00127D7A" w:rsidRDefault="00E25DC9" w:rsidP="00127D7A">
      <w:pPr>
        <w:pStyle w:val="APbullet1"/>
        <w:numPr>
          <w:ilvl w:val="0"/>
          <w:numId w:val="26"/>
        </w:numPr>
        <w:rPr>
          <w:sz w:val="22"/>
          <w:szCs w:val="22"/>
        </w:rPr>
      </w:pPr>
      <w:r w:rsidRPr="00E25DC9">
        <w:rPr>
          <w:sz w:val="22"/>
          <w:szCs w:val="22"/>
        </w:rPr>
        <w:t>Mental Health and Wellbeing – Employees</w:t>
      </w:r>
      <w:r>
        <w:rPr>
          <w:sz w:val="22"/>
          <w:szCs w:val="22"/>
        </w:rPr>
        <w:t xml:space="preserve">, </w:t>
      </w:r>
      <w:r w:rsidRPr="00E25DC9">
        <w:rPr>
          <w:sz w:val="22"/>
          <w:szCs w:val="22"/>
        </w:rPr>
        <w:t>Policy and Procedure</w:t>
      </w:r>
    </w:p>
    <w:p w14:paraId="7E32C6B7" w14:textId="77777777" w:rsidR="009F4259" w:rsidRPr="009F4259" w:rsidRDefault="009F4259" w:rsidP="009F4259">
      <w:pPr>
        <w:pStyle w:val="APbullet1"/>
        <w:numPr>
          <w:ilvl w:val="0"/>
          <w:numId w:val="0"/>
        </w:numPr>
        <w:rPr>
          <w:sz w:val="12"/>
          <w:szCs w:val="12"/>
        </w:rPr>
      </w:pPr>
    </w:p>
    <w:tbl>
      <w:tblPr>
        <w:tblStyle w:val="TableGrid"/>
        <w:tblW w:w="0" w:type="auto"/>
        <w:tblLook w:val="04A0" w:firstRow="1" w:lastRow="0" w:firstColumn="1" w:lastColumn="0" w:noHBand="0" w:noVBand="1"/>
      </w:tblPr>
      <w:tblGrid>
        <w:gridCol w:w="4148"/>
        <w:gridCol w:w="5061"/>
      </w:tblGrid>
      <w:tr w:rsidR="00781960" w14:paraId="0F4C4EAF" w14:textId="77777777" w:rsidTr="00B85DD9">
        <w:trPr>
          <w:trHeight w:val="1497"/>
        </w:trPr>
        <w:tc>
          <w:tcPr>
            <w:tcW w:w="9209" w:type="dxa"/>
            <w:gridSpan w:val="2"/>
          </w:tcPr>
          <w:p w14:paraId="4B216AB1" w14:textId="1BAB3924" w:rsidR="00781960" w:rsidRPr="007A4DEA" w:rsidRDefault="00781960" w:rsidP="00127D7A">
            <w:pPr>
              <w:pStyle w:val="Heading1"/>
              <w:spacing w:before="0"/>
              <w:rPr>
                <w:rFonts w:ascii="Arial" w:eastAsia="Arial" w:hAnsi="Arial" w:cs="Arial"/>
                <w:b/>
                <w:bCs/>
                <w:sz w:val="22"/>
                <w:szCs w:val="22"/>
              </w:rPr>
            </w:pPr>
            <w:r w:rsidRPr="007A4DEA">
              <w:rPr>
                <w:rFonts w:ascii="Arial" w:eastAsia="Arial" w:hAnsi="Arial" w:cs="Arial"/>
                <w:b/>
                <w:bCs/>
                <w:sz w:val="22"/>
                <w:szCs w:val="22"/>
              </w:rPr>
              <w:lastRenderedPageBreak/>
              <w:t xml:space="preserve">Evaluation and review </w:t>
            </w:r>
          </w:p>
          <w:p w14:paraId="5C06E356" w14:textId="7DA01D8F" w:rsidR="00781960" w:rsidRPr="007A4DEA" w:rsidRDefault="00623757" w:rsidP="001A3A85">
            <w:pPr>
              <w:pStyle w:val="Heading1"/>
              <w:spacing w:before="0" w:after="0"/>
              <w:ind w:leftChars="-1" w:hangingChars="1" w:hanging="2"/>
              <w:rPr>
                <w:rFonts w:ascii="Arial" w:eastAsia="Arial" w:hAnsi="Arial" w:cs="Arial"/>
                <w:bCs/>
                <w:sz w:val="22"/>
                <w:szCs w:val="22"/>
              </w:rPr>
            </w:pPr>
            <w:r>
              <w:rPr>
                <w:rFonts w:ascii="Arial" w:eastAsia="Arial" w:hAnsi="Arial" w:cs="Arial"/>
                <w:sz w:val="22"/>
                <w:szCs w:val="22"/>
              </w:rPr>
              <w:t>This policy was first implemented in December 2022. As a new</w:t>
            </w:r>
            <w:r w:rsidR="00CE0A29">
              <w:rPr>
                <w:rFonts w:ascii="Arial" w:eastAsia="Arial" w:hAnsi="Arial" w:cs="Arial"/>
                <w:sz w:val="22"/>
                <w:szCs w:val="22"/>
              </w:rPr>
              <w:t>ly implemented</w:t>
            </w:r>
            <w:r>
              <w:rPr>
                <w:rFonts w:ascii="Arial" w:eastAsia="Arial" w:hAnsi="Arial" w:cs="Arial"/>
                <w:sz w:val="22"/>
                <w:szCs w:val="22"/>
              </w:rPr>
              <w:t xml:space="preserve"> policy, it will be reviewed within the first 12 months of implementation. Thereafter, t</w:t>
            </w:r>
            <w:r w:rsidR="00781960">
              <w:rPr>
                <w:rFonts w:ascii="Arial" w:eastAsia="Arial" w:hAnsi="Arial" w:cs="Arial"/>
                <w:sz w:val="22"/>
                <w:szCs w:val="22"/>
              </w:rPr>
              <w:t>h</w:t>
            </w:r>
            <w:r>
              <w:rPr>
                <w:rFonts w:ascii="Arial" w:eastAsia="Arial" w:hAnsi="Arial" w:cs="Arial"/>
                <w:sz w:val="22"/>
                <w:szCs w:val="22"/>
              </w:rPr>
              <w:t>e</w:t>
            </w:r>
            <w:r w:rsidR="00781960">
              <w:rPr>
                <w:rFonts w:ascii="Arial" w:eastAsia="Arial" w:hAnsi="Arial" w:cs="Arial"/>
                <w:sz w:val="22"/>
                <w:szCs w:val="22"/>
              </w:rPr>
              <w:t xml:space="preserve"> policy will be reviewed as part of a 3-year cycle, or more regularly in response to community feedback and/or for compliance purposes</w:t>
            </w:r>
            <w:r w:rsidR="00781960" w:rsidRPr="007A4DEA">
              <w:rPr>
                <w:rFonts w:ascii="Arial" w:eastAsia="Arial" w:hAnsi="Arial" w:cs="Arial"/>
                <w:bCs/>
                <w:sz w:val="22"/>
                <w:szCs w:val="22"/>
              </w:rPr>
              <w:t>.</w:t>
            </w:r>
            <w:r w:rsidR="00781960">
              <w:rPr>
                <w:rFonts w:ascii="Arial" w:eastAsia="Arial" w:hAnsi="Arial" w:cs="Arial"/>
                <w:bCs/>
                <w:sz w:val="22"/>
                <w:szCs w:val="22"/>
              </w:rPr>
              <w:t xml:space="preserve"> Policy review will include an evaluation of the effectiveness of the policy</w:t>
            </w:r>
            <w:r w:rsidR="00B85DD9">
              <w:rPr>
                <w:rFonts w:ascii="Arial" w:eastAsia="Arial" w:hAnsi="Arial" w:cs="Arial"/>
                <w:bCs/>
                <w:sz w:val="22"/>
                <w:szCs w:val="22"/>
              </w:rPr>
              <w:t>, community needs and desires, and other local contextual factors</w:t>
            </w:r>
            <w:r w:rsidR="00781960">
              <w:rPr>
                <w:rFonts w:ascii="Arial" w:eastAsia="Arial" w:hAnsi="Arial" w:cs="Arial"/>
                <w:bCs/>
                <w:sz w:val="22"/>
                <w:szCs w:val="22"/>
              </w:rPr>
              <w:t>.</w:t>
            </w:r>
          </w:p>
        </w:tc>
      </w:tr>
      <w:tr w:rsidR="00781960" w14:paraId="277CDFFF" w14:textId="77777777" w:rsidTr="001A3A85">
        <w:tc>
          <w:tcPr>
            <w:tcW w:w="4148" w:type="dxa"/>
          </w:tcPr>
          <w:p w14:paraId="7D734D63" w14:textId="77777777" w:rsidR="00781960" w:rsidRPr="007A4DEA" w:rsidRDefault="00781960" w:rsidP="001A3A85">
            <w:pPr>
              <w:pStyle w:val="Heading1"/>
              <w:spacing w:before="0" w:after="0"/>
              <w:rPr>
                <w:rFonts w:ascii="Arial" w:eastAsia="Arial" w:hAnsi="Arial" w:cs="Arial"/>
                <w:bCs/>
                <w:sz w:val="22"/>
                <w:szCs w:val="22"/>
              </w:rPr>
            </w:pPr>
            <w:r w:rsidRPr="007A4DEA">
              <w:rPr>
                <w:rFonts w:ascii="Arial" w:eastAsia="Arial" w:hAnsi="Arial" w:cs="Arial"/>
                <w:bCs/>
                <w:color w:val="000000"/>
                <w:sz w:val="22"/>
                <w:szCs w:val="22"/>
              </w:rPr>
              <w:t>Ratified by School Council</w:t>
            </w:r>
          </w:p>
        </w:tc>
        <w:tc>
          <w:tcPr>
            <w:tcW w:w="5061" w:type="dxa"/>
          </w:tcPr>
          <w:p w14:paraId="4B6CC98C" w14:textId="142120D9" w:rsidR="00781960" w:rsidRPr="007A4DEA" w:rsidRDefault="00623757" w:rsidP="001A3A85">
            <w:pPr>
              <w:pStyle w:val="Heading1"/>
              <w:spacing w:before="0" w:after="0"/>
              <w:rPr>
                <w:rFonts w:ascii="Arial" w:eastAsia="Arial" w:hAnsi="Arial" w:cs="Arial"/>
                <w:sz w:val="22"/>
                <w:szCs w:val="22"/>
              </w:rPr>
            </w:pPr>
            <w:r>
              <w:rPr>
                <w:rFonts w:ascii="Arial" w:eastAsia="Arial" w:hAnsi="Arial" w:cs="Arial"/>
                <w:sz w:val="22"/>
                <w:szCs w:val="22"/>
              </w:rPr>
              <w:t>December</w:t>
            </w:r>
            <w:r w:rsidR="00D52BBE">
              <w:rPr>
                <w:rFonts w:ascii="Arial" w:eastAsia="Arial" w:hAnsi="Arial" w:cs="Arial"/>
                <w:sz w:val="22"/>
                <w:szCs w:val="22"/>
              </w:rPr>
              <w:t xml:space="preserve"> 2022</w:t>
            </w:r>
          </w:p>
        </w:tc>
      </w:tr>
      <w:tr w:rsidR="00781960" w14:paraId="0D44A535" w14:textId="77777777" w:rsidTr="001A3A85">
        <w:tc>
          <w:tcPr>
            <w:tcW w:w="4148" w:type="dxa"/>
          </w:tcPr>
          <w:p w14:paraId="7CA9EED5" w14:textId="77777777" w:rsidR="00781960" w:rsidRPr="007A4DEA" w:rsidRDefault="00781960" w:rsidP="001A3A85">
            <w:pPr>
              <w:pStyle w:val="Heading1"/>
              <w:spacing w:before="0" w:after="0"/>
              <w:rPr>
                <w:rFonts w:ascii="Arial" w:eastAsia="Arial" w:hAnsi="Arial" w:cs="Arial"/>
                <w:bCs/>
                <w:color w:val="000000"/>
                <w:sz w:val="22"/>
                <w:szCs w:val="22"/>
              </w:rPr>
            </w:pPr>
            <w:r w:rsidRPr="007A4DEA">
              <w:rPr>
                <w:rFonts w:ascii="Arial" w:eastAsia="Arial" w:hAnsi="Arial" w:cs="Arial"/>
                <w:bCs/>
                <w:color w:val="000000"/>
                <w:sz w:val="22"/>
                <w:szCs w:val="22"/>
              </w:rPr>
              <w:t>Next scheduled review</w:t>
            </w:r>
          </w:p>
        </w:tc>
        <w:tc>
          <w:tcPr>
            <w:tcW w:w="5061" w:type="dxa"/>
          </w:tcPr>
          <w:p w14:paraId="1E3C603C" w14:textId="544FB6AC" w:rsidR="00781960" w:rsidRPr="007A4DEA" w:rsidRDefault="00781960" w:rsidP="001A3A85">
            <w:pPr>
              <w:pStyle w:val="Heading1"/>
              <w:spacing w:before="0" w:after="0"/>
              <w:rPr>
                <w:rFonts w:ascii="Arial" w:eastAsia="Arial" w:hAnsi="Arial" w:cs="Arial"/>
                <w:sz w:val="22"/>
                <w:szCs w:val="22"/>
              </w:rPr>
            </w:pPr>
            <w:r w:rsidRPr="007A4DEA">
              <w:rPr>
                <w:rFonts w:ascii="Arial" w:eastAsia="Arial" w:hAnsi="Arial" w:cs="Arial"/>
                <w:sz w:val="22"/>
                <w:szCs w:val="22"/>
              </w:rPr>
              <w:t>202</w:t>
            </w:r>
            <w:r w:rsidR="00623757">
              <w:rPr>
                <w:rFonts w:ascii="Arial" w:eastAsia="Arial" w:hAnsi="Arial" w:cs="Arial"/>
                <w:sz w:val="22"/>
                <w:szCs w:val="22"/>
              </w:rPr>
              <w:t>3</w:t>
            </w:r>
          </w:p>
        </w:tc>
      </w:tr>
    </w:tbl>
    <w:p w14:paraId="706BFC67" w14:textId="77777777" w:rsidR="00C02D74" w:rsidRDefault="00C02D74">
      <w:pPr>
        <w:rPr>
          <w:b/>
          <w:sz w:val="28"/>
          <w:szCs w:val="28"/>
        </w:rPr>
      </w:pPr>
      <w:r>
        <w:rPr>
          <w:b/>
          <w:sz w:val="28"/>
          <w:szCs w:val="28"/>
        </w:rPr>
        <w:br w:type="page"/>
      </w:r>
    </w:p>
    <w:p w14:paraId="6212C5AF" w14:textId="42FFF522" w:rsidR="00382680" w:rsidRPr="004E359C" w:rsidRDefault="004E359C" w:rsidP="004E359C">
      <w:pPr>
        <w:pStyle w:val="Title"/>
        <w:spacing w:after="0" w:line="240" w:lineRule="auto"/>
        <w:ind w:left="1" w:hanging="3"/>
        <w:rPr>
          <w:b/>
          <w:sz w:val="28"/>
          <w:szCs w:val="28"/>
        </w:rPr>
      </w:pPr>
      <w:r w:rsidRPr="004E359C">
        <w:rPr>
          <w:b/>
          <w:sz w:val="28"/>
          <w:szCs w:val="28"/>
        </w:rPr>
        <w:lastRenderedPageBreak/>
        <w:t>Appendix</w:t>
      </w:r>
    </w:p>
    <w:p w14:paraId="45F0064A" w14:textId="242E125C" w:rsidR="004E359C" w:rsidRDefault="004E359C" w:rsidP="00B85DD9">
      <w:pPr>
        <w:rPr>
          <w:b/>
        </w:rPr>
      </w:pPr>
    </w:p>
    <w:p w14:paraId="405E012B" w14:textId="39965CC5" w:rsidR="004E359C" w:rsidRPr="008B3DBD" w:rsidRDefault="004E359C" w:rsidP="00EF4047">
      <w:pPr>
        <w:rPr>
          <w:b/>
        </w:rPr>
      </w:pPr>
      <w:r w:rsidRPr="008B3DBD">
        <w:rPr>
          <w:b/>
        </w:rPr>
        <w:t>Definitions</w:t>
      </w:r>
    </w:p>
    <w:p w14:paraId="56982A5C" w14:textId="77777777" w:rsidR="00E80149" w:rsidRDefault="00E80149" w:rsidP="00EF4047">
      <w:pPr>
        <w:contextualSpacing/>
        <w:rPr>
          <w:bCs/>
        </w:rPr>
      </w:pPr>
    </w:p>
    <w:p w14:paraId="715FABC1" w14:textId="28CB73A8" w:rsidR="004E359C" w:rsidRPr="00E80149" w:rsidRDefault="004E359C" w:rsidP="008B3DBD">
      <w:pPr>
        <w:rPr>
          <w:bCs/>
        </w:rPr>
      </w:pPr>
      <w:r w:rsidRPr="008B3DBD">
        <w:rPr>
          <w:b/>
        </w:rPr>
        <w:t>Healthy eating and oral health</w:t>
      </w:r>
      <w:r w:rsidRPr="00E80149">
        <w:rPr>
          <w:bCs/>
        </w:rPr>
        <w:t>: For the purposes of this policy and for the Healthy Schools Achievement Program</w:t>
      </w:r>
      <w:r w:rsidR="00E25DC9">
        <w:rPr>
          <w:rStyle w:val="FootnoteReference"/>
          <w:bCs/>
        </w:rPr>
        <w:footnoteReference w:id="5"/>
      </w:r>
      <w:r w:rsidRPr="00E80149">
        <w:rPr>
          <w:bCs/>
        </w:rPr>
        <w:t>, the ‘Healthy Eating and Oral Health’ health priority area focuses on supporting healthy eating, including nutrition, positive food habits and food literacy, and supporting oral health and hygiene practices.</w:t>
      </w:r>
      <w:r w:rsidR="009F4259">
        <w:rPr>
          <w:rStyle w:val="FootnoteReference"/>
          <w:bCs/>
        </w:rPr>
        <w:footnoteReference w:id="6"/>
      </w:r>
      <w:r w:rsidR="008B3DBD">
        <w:rPr>
          <w:bCs/>
        </w:rPr>
        <w:t xml:space="preserve"> Th</w:t>
      </w:r>
      <w:r w:rsidR="001016B0">
        <w:rPr>
          <w:bCs/>
        </w:rPr>
        <w:t>is</w:t>
      </w:r>
      <w:r w:rsidR="008B3DBD">
        <w:rPr>
          <w:bCs/>
        </w:rPr>
        <w:t xml:space="preserve"> policy also includes a focus on environmentally sustainable foods, in recognition of the important contribution of food and dietary habits to environmental sustainability</w:t>
      </w:r>
      <w:r w:rsidR="00BA3495">
        <w:rPr>
          <w:bCs/>
        </w:rPr>
        <w:t>.</w:t>
      </w:r>
      <w:r w:rsidR="00EF1BA7">
        <w:rPr>
          <w:rStyle w:val="FootnoteReference"/>
          <w:bCs/>
        </w:rPr>
        <w:footnoteReference w:id="7"/>
      </w:r>
    </w:p>
    <w:p w14:paraId="7E4D02D8" w14:textId="77777777" w:rsidR="004E359C" w:rsidRPr="004E359C" w:rsidRDefault="004E359C" w:rsidP="004E359C">
      <w:pPr>
        <w:spacing w:line="360" w:lineRule="auto"/>
        <w:contextualSpacing/>
        <w:rPr>
          <w:rFonts w:eastAsia="MS Gothic"/>
          <w:b/>
          <w:bCs/>
        </w:rPr>
      </w:pPr>
    </w:p>
    <w:p w14:paraId="6B7322DC" w14:textId="4721E539" w:rsidR="004E359C" w:rsidRPr="00BA3495" w:rsidRDefault="004E359C" w:rsidP="00BA3495">
      <w:pPr>
        <w:rPr>
          <w:bCs/>
        </w:rPr>
      </w:pPr>
      <w:r w:rsidRPr="00BA3495">
        <w:rPr>
          <w:b/>
        </w:rPr>
        <w:t xml:space="preserve">Healthy </w:t>
      </w:r>
      <w:r w:rsidR="00EF1BA7">
        <w:rPr>
          <w:b/>
        </w:rPr>
        <w:t>diets</w:t>
      </w:r>
      <w:r w:rsidRPr="00BA3495">
        <w:rPr>
          <w:bCs/>
        </w:rPr>
        <w:t xml:space="preserve">: </w:t>
      </w:r>
      <w:r w:rsidR="00BA3495">
        <w:rPr>
          <w:bCs/>
        </w:rPr>
        <w:t>I</w:t>
      </w:r>
      <w:r w:rsidR="00BA3495" w:rsidRPr="00BA3495">
        <w:rPr>
          <w:bCs/>
        </w:rPr>
        <w:t xml:space="preserve">n line with </w:t>
      </w:r>
      <w:r w:rsidR="00BA3495">
        <w:rPr>
          <w:bCs/>
        </w:rPr>
        <w:t xml:space="preserve">the </w:t>
      </w:r>
      <w:r w:rsidR="00BA3495" w:rsidRPr="00BA3495">
        <w:rPr>
          <w:bCs/>
        </w:rPr>
        <w:t>recommendations of the Australian Dietary Guidelines</w:t>
      </w:r>
      <w:r w:rsidR="00D94B0C">
        <w:rPr>
          <w:rStyle w:val="FootnoteReference"/>
          <w:bCs/>
        </w:rPr>
        <w:footnoteReference w:id="8"/>
      </w:r>
      <w:r w:rsidR="00BA3495">
        <w:rPr>
          <w:bCs/>
        </w:rPr>
        <w:t>, healthy eating is defined as</w:t>
      </w:r>
      <w:r w:rsidR="00BA3495" w:rsidRPr="00BA3495">
        <w:rPr>
          <w:bCs/>
        </w:rPr>
        <w:t xml:space="preserve"> </w:t>
      </w:r>
      <w:r w:rsidR="00BA3495">
        <w:rPr>
          <w:bCs/>
        </w:rPr>
        <w:t>e</w:t>
      </w:r>
      <w:r w:rsidRPr="00BA3495">
        <w:rPr>
          <w:bCs/>
        </w:rPr>
        <w:t>ating a wide variety of foods from the five food groups each day. These are:</w:t>
      </w:r>
    </w:p>
    <w:p w14:paraId="3B0D3EA5" w14:textId="77777777" w:rsidR="004E359C" w:rsidRPr="00BA3495" w:rsidRDefault="004E359C" w:rsidP="00BA3495">
      <w:pPr>
        <w:pStyle w:val="ListParagraph"/>
        <w:numPr>
          <w:ilvl w:val="0"/>
          <w:numId w:val="15"/>
        </w:numPr>
        <w:rPr>
          <w:bCs/>
        </w:rPr>
      </w:pPr>
      <w:r w:rsidRPr="00BA3495">
        <w:rPr>
          <w:bCs/>
        </w:rPr>
        <w:t>fruit</w:t>
      </w:r>
    </w:p>
    <w:p w14:paraId="06290900" w14:textId="77777777" w:rsidR="004E359C" w:rsidRPr="00BA3495" w:rsidRDefault="004E359C" w:rsidP="00BA3495">
      <w:pPr>
        <w:pStyle w:val="ListParagraph"/>
        <w:numPr>
          <w:ilvl w:val="0"/>
          <w:numId w:val="15"/>
        </w:numPr>
        <w:rPr>
          <w:bCs/>
        </w:rPr>
      </w:pPr>
      <w:r w:rsidRPr="00BA3495">
        <w:rPr>
          <w:bCs/>
        </w:rPr>
        <w:t>vegetables and legumes/beans</w:t>
      </w:r>
    </w:p>
    <w:p w14:paraId="6F4AFC4B" w14:textId="77777777" w:rsidR="004E359C" w:rsidRPr="00BA3495" w:rsidRDefault="004E359C" w:rsidP="00BA3495">
      <w:pPr>
        <w:pStyle w:val="ListParagraph"/>
        <w:numPr>
          <w:ilvl w:val="0"/>
          <w:numId w:val="15"/>
        </w:numPr>
        <w:rPr>
          <w:bCs/>
        </w:rPr>
      </w:pPr>
      <w:r w:rsidRPr="00BA3495">
        <w:rPr>
          <w:bCs/>
        </w:rPr>
        <w:t>grain (cereal) foods, mostly wholegrain</w:t>
      </w:r>
    </w:p>
    <w:p w14:paraId="2ABDCB66" w14:textId="77777777" w:rsidR="004E359C" w:rsidRPr="00BA3495" w:rsidRDefault="004E359C" w:rsidP="00BA3495">
      <w:pPr>
        <w:pStyle w:val="ListParagraph"/>
        <w:numPr>
          <w:ilvl w:val="0"/>
          <w:numId w:val="15"/>
        </w:numPr>
        <w:rPr>
          <w:bCs/>
        </w:rPr>
      </w:pPr>
      <w:r w:rsidRPr="00BA3495">
        <w:rPr>
          <w:bCs/>
        </w:rPr>
        <w:t>milk, yoghurt, cheese and alternatives</w:t>
      </w:r>
    </w:p>
    <w:p w14:paraId="4E30CF29" w14:textId="77777777" w:rsidR="004E359C" w:rsidRPr="00BA3495" w:rsidRDefault="004E359C" w:rsidP="00BA3495">
      <w:pPr>
        <w:pStyle w:val="ListParagraph"/>
        <w:numPr>
          <w:ilvl w:val="0"/>
          <w:numId w:val="15"/>
        </w:numPr>
        <w:rPr>
          <w:bCs/>
        </w:rPr>
      </w:pPr>
      <w:r w:rsidRPr="00BA3495">
        <w:rPr>
          <w:bCs/>
        </w:rPr>
        <w:t>lean meat, poultry, fish, eggs, tofu, nuts and seeds and legumes/beans.</w:t>
      </w:r>
    </w:p>
    <w:p w14:paraId="53D6FA81" w14:textId="742216EE" w:rsidR="003462C7" w:rsidRDefault="003462C7" w:rsidP="00BA3495">
      <w:pPr>
        <w:rPr>
          <w:bCs/>
        </w:rPr>
      </w:pPr>
    </w:p>
    <w:p w14:paraId="5AD6A344" w14:textId="343C25EC" w:rsidR="00F75315" w:rsidRDefault="001016B0" w:rsidP="00BA3495">
      <w:pPr>
        <w:rPr>
          <w:bCs/>
        </w:rPr>
      </w:pPr>
      <w:r>
        <w:rPr>
          <w:bCs/>
        </w:rPr>
        <w:t xml:space="preserve">In addition, a healthy diet </w:t>
      </w:r>
      <w:proofErr w:type="spellStart"/>
      <w:r>
        <w:rPr>
          <w:bCs/>
        </w:rPr>
        <w:t>minimi</w:t>
      </w:r>
      <w:r w:rsidR="005E5931">
        <w:rPr>
          <w:bCs/>
        </w:rPr>
        <w:t>s</w:t>
      </w:r>
      <w:r>
        <w:rPr>
          <w:bCs/>
        </w:rPr>
        <w:t>es</w:t>
      </w:r>
      <w:proofErr w:type="spellEnd"/>
      <w:r>
        <w:rPr>
          <w:bCs/>
        </w:rPr>
        <w:t xml:space="preserve"> consumption of </w:t>
      </w:r>
      <w:r w:rsidR="001766AB">
        <w:rPr>
          <w:bCs/>
        </w:rPr>
        <w:t>ultra-</w:t>
      </w:r>
      <w:r>
        <w:rPr>
          <w:bCs/>
        </w:rPr>
        <w:t>processed foods</w:t>
      </w:r>
      <w:r w:rsidR="003773A1">
        <w:rPr>
          <w:rStyle w:val="FootnoteReference"/>
          <w:bCs/>
        </w:rPr>
        <w:footnoteReference w:id="9"/>
      </w:r>
      <w:r>
        <w:rPr>
          <w:bCs/>
        </w:rPr>
        <w:t>, and seeks to reduce consumption of sugar, sodium and fats.</w:t>
      </w:r>
    </w:p>
    <w:p w14:paraId="47EF9418" w14:textId="77777777" w:rsidR="00F75315" w:rsidRPr="00BA3495" w:rsidRDefault="00F75315" w:rsidP="00BA3495">
      <w:pPr>
        <w:rPr>
          <w:bCs/>
        </w:rPr>
      </w:pPr>
    </w:p>
    <w:p w14:paraId="41884032" w14:textId="7954F96E" w:rsidR="004E359C" w:rsidRPr="00BA3495" w:rsidRDefault="004E359C" w:rsidP="00BA3495">
      <w:pPr>
        <w:rPr>
          <w:bCs/>
        </w:rPr>
      </w:pPr>
      <w:r w:rsidRPr="00BA3495">
        <w:rPr>
          <w:bCs/>
        </w:rPr>
        <w:t>Healthy eating also means eating in a way that is socially and culturally appropriate, having regular meals and snacks</w:t>
      </w:r>
      <w:r w:rsidR="003462C7" w:rsidRPr="00BA3495">
        <w:rPr>
          <w:bCs/>
        </w:rPr>
        <w:t>,</w:t>
      </w:r>
      <w:r w:rsidRPr="00BA3495">
        <w:rPr>
          <w:bCs/>
        </w:rPr>
        <w:t xml:space="preserve"> and eating food to satisfy hunger, appetite and energy needs.</w:t>
      </w:r>
      <w:r w:rsidRPr="00BA3495">
        <w:rPr>
          <w:bCs/>
          <w:vertAlign w:val="superscript"/>
        </w:rPr>
        <w:footnoteReference w:id="10"/>
      </w:r>
    </w:p>
    <w:p w14:paraId="23139203" w14:textId="62C180B1" w:rsidR="004E359C" w:rsidRPr="001766AB" w:rsidRDefault="004E359C" w:rsidP="001766AB">
      <w:pPr>
        <w:rPr>
          <w:b/>
        </w:rPr>
      </w:pPr>
    </w:p>
    <w:p w14:paraId="14C11C2C" w14:textId="26390283" w:rsidR="00FC1713" w:rsidRPr="001766AB" w:rsidRDefault="00FC1713" w:rsidP="001766AB">
      <w:pPr>
        <w:rPr>
          <w:bCs/>
        </w:rPr>
      </w:pPr>
      <w:proofErr w:type="gramStart"/>
      <w:r w:rsidRPr="001016B0">
        <w:rPr>
          <w:b/>
        </w:rPr>
        <w:t>Environmental</w:t>
      </w:r>
      <w:proofErr w:type="gramEnd"/>
      <w:r w:rsidRPr="001016B0">
        <w:rPr>
          <w:b/>
        </w:rPr>
        <w:t xml:space="preserve"> sustainab</w:t>
      </w:r>
      <w:r w:rsidR="00F75315" w:rsidRPr="001016B0">
        <w:rPr>
          <w:b/>
        </w:rPr>
        <w:t>le foods</w:t>
      </w:r>
      <w:r w:rsidRPr="001766AB">
        <w:rPr>
          <w:bCs/>
        </w:rPr>
        <w:t>: For the purposes of this policy, considerations related to environmental sustainability of foods include:</w:t>
      </w:r>
    </w:p>
    <w:p w14:paraId="3472ECCE" w14:textId="64A7A73D" w:rsidR="00FC1713" w:rsidRPr="001016B0" w:rsidRDefault="00F75315" w:rsidP="001016B0">
      <w:pPr>
        <w:pStyle w:val="ListParagraph"/>
        <w:numPr>
          <w:ilvl w:val="0"/>
          <w:numId w:val="15"/>
        </w:numPr>
        <w:rPr>
          <w:bCs/>
        </w:rPr>
      </w:pPr>
      <w:proofErr w:type="spellStart"/>
      <w:r w:rsidRPr="001016B0">
        <w:rPr>
          <w:bCs/>
        </w:rPr>
        <w:t>M</w:t>
      </w:r>
      <w:r w:rsidR="00FC1713" w:rsidRPr="001016B0">
        <w:rPr>
          <w:bCs/>
        </w:rPr>
        <w:t>inim</w:t>
      </w:r>
      <w:r w:rsidR="001766AB">
        <w:rPr>
          <w:bCs/>
        </w:rPr>
        <w:t>i</w:t>
      </w:r>
      <w:r w:rsidR="005E5931">
        <w:rPr>
          <w:bCs/>
        </w:rPr>
        <w:t>s</w:t>
      </w:r>
      <w:r w:rsidR="001766AB">
        <w:rPr>
          <w:bCs/>
        </w:rPr>
        <w:t>ing</w:t>
      </w:r>
      <w:proofErr w:type="spellEnd"/>
      <w:r w:rsidR="001766AB">
        <w:rPr>
          <w:bCs/>
        </w:rPr>
        <w:t xml:space="preserve"> </w:t>
      </w:r>
      <w:r w:rsidRPr="001016B0">
        <w:rPr>
          <w:bCs/>
        </w:rPr>
        <w:t xml:space="preserve">food </w:t>
      </w:r>
      <w:r w:rsidR="00FC1713" w:rsidRPr="001016B0">
        <w:rPr>
          <w:bCs/>
        </w:rPr>
        <w:t>packaging</w:t>
      </w:r>
      <w:r w:rsidR="00127D7A">
        <w:rPr>
          <w:bCs/>
        </w:rPr>
        <w:t>. W</w:t>
      </w:r>
      <w:r w:rsidRPr="001016B0">
        <w:rPr>
          <w:bCs/>
        </w:rPr>
        <w:t>here packaging is used, reusable and/or recyclable</w:t>
      </w:r>
      <w:r w:rsidR="00127D7A">
        <w:rPr>
          <w:bCs/>
        </w:rPr>
        <w:t xml:space="preserve"> packaging is encouraged</w:t>
      </w:r>
    </w:p>
    <w:p w14:paraId="1109C45B" w14:textId="305728D6" w:rsidR="00FC1713" w:rsidRPr="001016B0" w:rsidRDefault="00F75315" w:rsidP="001016B0">
      <w:pPr>
        <w:pStyle w:val="ListParagraph"/>
        <w:numPr>
          <w:ilvl w:val="0"/>
          <w:numId w:val="15"/>
        </w:numPr>
        <w:rPr>
          <w:bCs/>
        </w:rPr>
      </w:pPr>
      <w:proofErr w:type="spellStart"/>
      <w:r w:rsidRPr="001016B0">
        <w:rPr>
          <w:bCs/>
        </w:rPr>
        <w:t>M</w:t>
      </w:r>
      <w:r w:rsidR="00FC1713" w:rsidRPr="001016B0">
        <w:rPr>
          <w:bCs/>
        </w:rPr>
        <w:t>inimi</w:t>
      </w:r>
      <w:r w:rsidR="005E5931">
        <w:rPr>
          <w:bCs/>
        </w:rPr>
        <w:t>s</w:t>
      </w:r>
      <w:r w:rsidR="00FC1713" w:rsidRPr="001016B0">
        <w:rPr>
          <w:bCs/>
        </w:rPr>
        <w:t>ing</w:t>
      </w:r>
      <w:proofErr w:type="spellEnd"/>
      <w:r w:rsidR="00FC1713" w:rsidRPr="001016B0">
        <w:rPr>
          <w:bCs/>
        </w:rPr>
        <w:t xml:space="preserve"> food waste</w:t>
      </w:r>
    </w:p>
    <w:p w14:paraId="10F268D8" w14:textId="18E3D896" w:rsidR="00FC1713" w:rsidRPr="001016B0" w:rsidRDefault="00F75315" w:rsidP="001016B0">
      <w:pPr>
        <w:pStyle w:val="ListParagraph"/>
        <w:numPr>
          <w:ilvl w:val="0"/>
          <w:numId w:val="15"/>
        </w:numPr>
        <w:rPr>
          <w:bCs/>
        </w:rPr>
      </w:pPr>
      <w:r w:rsidRPr="001016B0">
        <w:rPr>
          <w:bCs/>
        </w:rPr>
        <w:t xml:space="preserve">Limiting </w:t>
      </w:r>
      <w:r w:rsidR="001766AB">
        <w:rPr>
          <w:bCs/>
        </w:rPr>
        <w:t>ultra-</w:t>
      </w:r>
      <w:r w:rsidRPr="001016B0">
        <w:rPr>
          <w:bCs/>
        </w:rPr>
        <w:t>processed food</w:t>
      </w:r>
      <w:r w:rsidR="001766AB">
        <w:rPr>
          <w:bCs/>
        </w:rPr>
        <w:t>s</w:t>
      </w:r>
    </w:p>
    <w:p w14:paraId="49746BE2" w14:textId="0054D535" w:rsidR="00F75315" w:rsidRPr="001016B0" w:rsidRDefault="00F75315" w:rsidP="001016B0">
      <w:pPr>
        <w:pStyle w:val="ListParagraph"/>
        <w:numPr>
          <w:ilvl w:val="0"/>
          <w:numId w:val="15"/>
        </w:numPr>
        <w:rPr>
          <w:bCs/>
        </w:rPr>
      </w:pPr>
      <w:r w:rsidRPr="001016B0">
        <w:rPr>
          <w:bCs/>
        </w:rPr>
        <w:t xml:space="preserve">Limiting red meat </w:t>
      </w:r>
    </w:p>
    <w:p w14:paraId="518400EF" w14:textId="76D20DFD" w:rsidR="00F75315" w:rsidRPr="001016B0" w:rsidRDefault="00F75315" w:rsidP="001016B0">
      <w:pPr>
        <w:pStyle w:val="ListParagraph"/>
        <w:numPr>
          <w:ilvl w:val="0"/>
          <w:numId w:val="15"/>
        </w:numPr>
        <w:rPr>
          <w:bCs/>
        </w:rPr>
      </w:pPr>
      <w:r w:rsidRPr="001016B0">
        <w:rPr>
          <w:bCs/>
        </w:rPr>
        <w:t>Focus on local and seasonal fresh produce that is grown in an environmentally sustainable way.</w:t>
      </w:r>
    </w:p>
    <w:p w14:paraId="4F2D8B68" w14:textId="77777777" w:rsidR="004E359C" w:rsidRPr="004E359C" w:rsidRDefault="004E359C" w:rsidP="004E359C">
      <w:pPr>
        <w:spacing w:line="360" w:lineRule="auto"/>
        <w:contextualSpacing/>
        <w:rPr>
          <w:rFonts w:eastAsia="MS Gothic"/>
          <w:b/>
          <w:bCs/>
        </w:rPr>
      </w:pPr>
    </w:p>
    <w:p w14:paraId="2149EB67" w14:textId="51C9B3F9" w:rsidR="004E359C" w:rsidRPr="001766AB" w:rsidRDefault="004E359C" w:rsidP="001766AB">
      <w:pPr>
        <w:rPr>
          <w:bCs/>
        </w:rPr>
      </w:pPr>
      <w:r w:rsidRPr="001766AB">
        <w:rPr>
          <w:b/>
        </w:rPr>
        <w:lastRenderedPageBreak/>
        <w:t>Discretionary</w:t>
      </w:r>
      <w:r w:rsidR="001766AB">
        <w:rPr>
          <w:b/>
        </w:rPr>
        <w:t xml:space="preserve"> </w:t>
      </w:r>
      <w:r w:rsidRPr="001766AB">
        <w:rPr>
          <w:b/>
        </w:rPr>
        <w:t>food and drink</w:t>
      </w:r>
      <w:r w:rsidR="001766AB">
        <w:rPr>
          <w:b/>
        </w:rPr>
        <w:t>s</w:t>
      </w:r>
      <w:r w:rsidRPr="001766AB">
        <w:rPr>
          <w:bCs/>
        </w:rPr>
        <w:t>: Discretionary</w:t>
      </w:r>
      <w:r w:rsidR="001766AB">
        <w:rPr>
          <w:bCs/>
        </w:rPr>
        <w:t xml:space="preserve"> </w:t>
      </w:r>
      <w:r w:rsidRPr="001766AB">
        <w:rPr>
          <w:bCs/>
        </w:rPr>
        <w:t>food and drink</w:t>
      </w:r>
      <w:r w:rsidR="001766AB">
        <w:rPr>
          <w:bCs/>
        </w:rPr>
        <w:t>s</w:t>
      </w:r>
      <w:r w:rsidRPr="001766AB">
        <w:rPr>
          <w:bCs/>
        </w:rPr>
        <w:t xml:space="preserve"> </w:t>
      </w:r>
      <w:r w:rsidR="001766AB">
        <w:rPr>
          <w:bCs/>
        </w:rPr>
        <w:t>are</w:t>
      </w:r>
      <w:r w:rsidRPr="001766AB">
        <w:rPr>
          <w:bCs/>
        </w:rPr>
        <w:t xml:space="preserve"> high in </w:t>
      </w:r>
      <w:r w:rsidR="00C13846">
        <w:rPr>
          <w:bCs/>
        </w:rPr>
        <w:t xml:space="preserve">added </w:t>
      </w:r>
      <w:r w:rsidR="005E5931">
        <w:rPr>
          <w:bCs/>
        </w:rPr>
        <w:t>sugar, sodium</w:t>
      </w:r>
      <w:r w:rsidR="00A53488">
        <w:rPr>
          <w:bCs/>
        </w:rPr>
        <w:t xml:space="preserve">, alcohol </w:t>
      </w:r>
      <w:r w:rsidR="005E5931">
        <w:rPr>
          <w:bCs/>
        </w:rPr>
        <w:t xml:space="preserve">and/or </w:t>
      </w:r>
      <w:r w:rsidR="00A53488">
        <w:rPr>
          <w:bCs/>
        </w:rPr>
        <w:t xml:space="preserve">saturated </w:t>
      </w:r>
      <w:r w:rsidRPr="001766AB">
        <w:rPr>
          <w:bCs/>
        </w:rPr>
        <w:t>fat.</w:t>
      </w:r>
      <w:r w:rsidRPr="001766AB">
        <w:rPr>
          <w:bCs/>
          <w:vertAlign w:val="superscript"/>
        </w:rPr>
        <w:footnoteReference w:id="11"/>
      </w:r>
      <w:r w:rsidRPr="001766AB">
        <w:rPr>
          <w:bCs/>
        </w:rPr>
        <w:t xml:space="preserve"> They typically have very little nutritional value and are often </w:t>
      </w:r>
      <w:r w:rsidR="005E5931">
        <w:rPr>
          <w:bCs/>
        </w:rPr>
        <w:t xml:space="preserve">highly </w:t>
      </w:r>
      <w:r w:rsidRPr="001766AB">
        <w:rPr>
          <w:bCs/>
        </w:rPr>
        <w:t>processed and packaged. Examples of discretionary food and drink</w:t>
      </w:r>
      <w:r w:rsidR="005E5931">
        <w:rPr>
          <w:bCs/>
        </w:rPr>
        <w:t>s</w:t>
      </w:r>
      <w:r w:rsidRPr="001766AB">
        <w:rPr>
          <w:bCs/>
        </w:rPr>
        <w:t xml:space="preserve"> include:</w:t>
      </w:r>
    </w:p>
    <w:p w14:paraId="2BD880FF" w14:textId="2A05DE2D" w:rsidR="004E359C" w:rsidRPr="001766AB" w:rsidRDefault="004E359C" w:rsidP="001766AB">
      <w:pPr>
        <w:pStyle w:val="ListParagraph"/>
        <w:numPr>
          <w:ilvl w:val="0"/>
          <w:numId w:val="17"/>
        </w:numPr>
        <w:rPr>
          <w:bCs/>
        </w:rPr>
      </w:pPr>
      <w:r w:rsidRPr="001766AB">
        <w:rPr>
          <w:bCs/>
        </w:rPr>
        <w:t>chocolate, confectionery, jelly</w:t>
      </w:r>
      <w:r w:rsidR="00FC458A">
        <w:rPr>
          <w:bCs/>
        </w:rPr>
        <w:t>, fairy floss</w:t>
      </w:r>
    </w:p>
    <w:p w14:paraId="2BD9816B" w14:textId="77777777" w:rsidR="004E359C" w:rsidRPr="001766AB" w:rsidRDefault="004E359C" w:rsidP="001766AB">
      <w:pPr>
        <w:pStyle w:val="ListParagraph"/>
        <w:numPr>
          <w:ilvl w:val="0"/>
          <w:numId w:val="17"/>
        </w:numPr>
        <w:rPr>
          <w:bCs/>
        </w:rPr>
      </w:pPr>
      <w:r w:rsidRPr="001766AB">
        <w:rPr>
          <w:bCs/>
        </w:rPr>
        <w:t xml:space="preserve">sweet biscuits, high fat/salt </w:t>
      </w:r>
      <w:proofErr w:type="spellStart"/>
      <w:r w:rsidRPr="001766AB">
        <w:rPr>
          <w:bCs/>
        </w:rPr>
        <w:t>savoury</w:t>
      </w:r>
      <w:proofErr w:type="spellEnd"/>
      <w:r w:rsidRPr="001766AB">
        <w:rPr>
          <w:bCs/>
        </w:rPr>
        <w:t xml:space="preserve"> biscuits, chips</w:t>
      </w:r>
    </w:p>
    <w:p w14:paraId="5246A3FC" w14:textId="0619D3F4" w:rsidR="004E359C" w:rsidRPr="001766AB" w:rsidRDefault="004E359C" w:rsidP="001766AB">
      <w:pPr>
        <w:pStyle w:val="ListParagraph"/>
        <w:numPr>
          <w:ilvl w:val="0"/>
          <w:numId w:val="17"/>
        </w:numPr>
        <w:rPr>
          <w:bCs/>
        </w:rPr>
      </w:pPr>
      <w:r w:rsidRPr="001766AB">
        <w:rPr>
          <w:bCs/>
        </w:rPr>
        <w:t>high sugar</w:t>
      </w:r>
      <w:r w:rsidR="00FC458A">
        <w:rPr>
          <w:bCs/>
        </w:rPr>
        <w:t xml:space="preserve"> </w:t>
      </w:r>
      <w:r w:rsidRPr="001766AB">
        <w:rPr>
          <w:bCs/>
        </w:rPr>
        <w:t>/</w:t>
      </w:r>
      <w:r w:rsidR="00FC458A">
        <w:rPr>
          <w:bCs/>
        </w:rPr>
        <w:t xml:space="preserve"> </w:t>
      </w:r>
      <w:r w:rsidRPr="001766AB">
        <w:rPr>
          <w:bCs/>
        </w:rPr>
        <w:t>high fat cakes and slices</w:t>
      </w:r>
    </w:p>
    <w:p w14:paraId="37B80CDD" w14:textId="77777777" w:rsidR="00FC458A" w:rsidRDefault="004E359C" w:rsidP="001766AB">
      <w:pPr>
        <w:pStyle w:val="ListParagraph"/>
        <w:numPr>
          <w:ilvl w:val="0"/>
          <w:numId w:val="17"/>
        </w:numPr>
        <w:rPr>
          <w:bCs/>
        </w:rPr>
      </w:pPr>
      <w:r w:rsidRPr="001766AB">
        <w:rPr>
          <w:bCs/>
        </w:rPr>
        <w:t>ice cream</w:t>
      </w:r>
    </w:p>
    <w:p w14:paraId="7B0DEAA3" w14:textId="337BE087" w:rsidR="004E359C" w:rsidRPr="001766AB" w:rsidRDefault="005E5931" w:rsidP="001766AB">
      <w:pPr>
        <w:pStyle w:val="ListParagraph"/>
        <w:numPr>
          <w:ilvl w:val="0"/>
          <w:numId w:val="17"/>
        </w:numPr>
        <w:rPr>
          <w:bCs/>
        </w:rPr>
      </w:pPr>
      <w:r>
        <w:rPr>
          <w:bCs/>
        </w:rPr>
        <w:t>icy poles</w:t>
      </w:r>
      <w:r w:rsidR="004E359C" w:rsidRPr="001766AB">
        <w:rPr>
          <w:bCs/>
        </w:rPr>
        <w:t xml:space="preserve"> </w:t>
      </w:r>
      <w:r w:rsidR="00FC458A">
        <w:rPr>
          <w:bCs/>
        </w:rPr>
        <w:t>and other ice confection</w:t>
      </w:r>
    </w:p>
    <w:p w14:paraId="5FEF653A" w14:textId="77777777" w:rsidR="004E359C" w:rsidRPr="001766AB" w:rsidRDefault="004E359C" w:rsidP="001766AB">
      <w:pPr>
        <w:pStyle w:val="ListParagraph"/>
        <w:numPr>
          <w:ilvl w:val="0"/>
          <w:numId w:val="17"/>
        </w:numPr>
        <w:rPr>
          <w:bCs/>
        </w:rPr>
      </w:pPr>
      <w:r w:rsidRPr="001766AB">
        <w:rPr>
          <w:bCs/>
        </w:rPr>
        <w:t>deep fried foods (e.g. hot chips) and pastry-based foods (e.g. pies, sausage rolls and pasties)</w:t>
      </w:r>
    </w:p>
    <w:p w14:paraId="7E0B3F34" w14:textId="77777777" w:rsidR="004E359C" w:rsidRPr="001766AB" w:rsidRDefault="004E359C" w:rsidP="001766AB">
      <w:pPr>
        <w:pStyle w:val="ListParagraph"/>
        <w:numPr>
          <w:ilvl w:val="0"/>
          <w:numId w:val="17"/>
        </w:numPr>
        <w:rPr>
          <w:bCs/>
        </w:rPr>
      </w:pPr>
      <w:r w:rsidRPr="001766AB">
        <w:rPr>
          <w:bCs/>
        </w:rPr>
        <w:t>most fast food and takeaway foods</w:t>
      </w:r>
    </w:p>
    <w:p w14:paraId="1084A5A1" w14:textId="75D48484" w:rsidR="004E359C" w:rsidRPr="001766AB" w:rsidRDefault="004E359C" w:rsidP="001766AB">
      <w:pPr>
        <w:pStyle w:val="ListParagraph"/>
        <w:numPr>
          <w:ilvl w:val="0"/>
          <w:numId w:val="17"/>
        </w:numPr>
        <w:rPr>
          <w:bCs/>
        </w:rPr>
      </w:pPr>
      <w:r w:rsidRPr="001766AB">
        <w:rPr>
          <w:bCs/>
        </w:rPr>
        <w:t xml:space="preserve">some processed meats (e.g. sausages, </w:t>
      </w:r>
      <w:proofErr w:type="spellStart"/>
      <w:r w:rsidRPr="001766AB">
        <w:rPr>
          <w:bCs/>
        </w:rPr>
        <w:t>frankfurts</w:t>
      </w:r>
      <w:proofErr w:type="spellEnd"/>
      <w:r w:rsidRPr="001766AB">
        <w:rPr>
          <w:bCs/>
        </w:rPr>
        <w:t xml:space="preserve">/hot dogs, salami, some commercial chicken nuggets and fish fingers) </w:t>
      </w:r>
    </w:p>
    <w:p w14:paraId="4BD2CF27" w14:textId="77777777" w:rsidR="004E359C" w:rsidRPr="001766AB" w:rsidRDefault="004E359C" w:rsidP="001766AB">
      <w:pPr>
        <w:pStyle w:val="ListParagraph"/>
        <w:numPr>
          <w:ilvl w:val="0"/>
          <w:numId w:val="17"/>
        </w:numPr>
        <w:rPr>
          <w:bCs/>
        </w:rPr>
      </w:pPr>
      <w:r w:rsidRPr="001766AB">
        <w:rPr>
          <w:bCs/>
        </w:rPr>
        <w:t xml:space="preserve">soft drinks, fruit juice and fruit drinks, cordial, sports drinks, energy drinks, </w:t>
      </w:r>
      <w:proofErr w:type="spellStart"/>
      <w:r w:rsidRPr="001766AB">
        <w:rPr>
          <w:bCs/>
        </w:rPr>
        <w:t>flavoured</w:t>
      </w:r>
      <w:proofErr w:type="spellEnd"/>
      <w:r w:rsidRPr="001766AB">
        <w:rPr>
          <w:bCs/>
        </w:rPr>
        <w:t xml:space="preserve"> milk and </w:t>
      </w:r>
      <w:proofErr w:type="spellStart"/>
      <w:r w:rsidRPr="001766AB">
        <w:rPr>
          <w:bCs/>
        </w:rPr>
        <w:t>flavoured</w:t>
      </w:r>
      <w:proofErr w:type="spellEnd"/>
      <w:r w:rsidRPr="001766AB">
        <w:rPr>
          <w:bCs/>
        </w:rPr>
        <w:t xml:space="preserve"> mineral water.</w:t>
      </w:r>
      <w:r w:rsidRPr="005E5931">
        <w:rPr>
          <w:vertAlign w:val="superscript"/>
        </w:rPr>
        <w:footnoteReference w:id="12"/>
      </w:r>
      <w:r w:rsidRPr="005E5931">
        <w:rPr>
          <w:bCs/>
          <w:vertAlign w:val="superscript"/>
        </w:rPr>
        <w:t xml:space="preserve"> </w:t>
      </w:r>
    </w:p>
    <w:p w14:paraId="7161F7D0" w14:textId="2C43F021" w:rsidR="004E359C" w:rsidRDefault="004E359C" w:rsidP="001766AB">
      <w:pPr>
        <w:rPr>
          <w:bCs/>
        </w:rPr>
      </w:pPr>
    </w:p>
    <w:p w14:paraId="0D33125D" w14:textId="77777777" w:rsidR="00A53488" w:rsidRPr="001766AB" w:rsidRDefault="00A53488" w:rsidP="00A53488">
      <w:pPr>
        <w:rPr>
          <w:bCs/>
        </w:rPr>
      </w:pPr>
      <w:r w:rsidRPr="005E5931">
        <w:rPr>
          <w:b/>
        </w:rPr>
        <w:t>Food literacy</w:t>
      </w:r>
      <w:r w:rsidRPr="001766AB">
        <w:rPr>
          <w:bCs/>
        </w:rPr>
        <w:t>: A collection of inter-related knowledge, skills and behaviours required to plan, manage, select, prepare and eat food to meet dietary needs.</w:t>
      </w:r>
      <w:r w:rsidRPr="002E6317">
        <w:rPr>
          <w:bCs/>
          <w:vertAlign w:val="superscript"/>
        </w:rPr>
        <w:footnoteReference w:id="13"/>
      </w:r>
    </w:p>
    <w:p w14:paraId="455FF47C" w14:textId="77777777" w:rsidR="00A53488" w:rsidRDefault="00A53488" w:rsidP="001766AB">
      <w:pPr>
        <w:rPr>
          <w:bCs/>
        </w:rPr>
      </w:pPr>
    </w:p>
    <w:p w14:paraId="71365CC6" w14:textId="7202A78B" w:rsidR="0040034A" w:rsidRDefault="0040034A" w:rsidP="001766AB">
      <w:pPr>
        <w:rPr>
          <w:bCs/>
        </w:rPr>
      </w:pPr>
      <w:r w:rsidRPr="0040034A">
        <w:rPr>
          <w:b/>
        </w:rPr>
        <w:t xml:space="preserve">‘Nude </w:t>
      </w:r>
      <w:r w:rsidR="00DF65BD">
        <w:rPr>
          <w:b/>
        </w:rPr>
        <w:t>F</w:t>
      </w:r>
      <w:r w:rsidRPr="0040034A">
        <w:rPr>
          <w:b/>
        </w:rPr>
        <w:t>ood</w:t>
      </w:r>
      <w:r w:rsidR="00DF65BD">
        <w:rPr>
          <w:b/>
        </w:rPr>
        <w:t>’</w:t>
      </w:r>
      <w:r>
        <w:rPr>
          <w:bCs/>
        </w:rPr>
        <w:t>: F</w:t>
      </w:r>
      <w:r w:rsidRPr="0040034A">
        <w:t>ood that is not wrapped in foil, plastic or commercial packaging</w:t>
      </w:r>
    </w:p>
    <w:p w14:paraId="75DD62E4" w14:textId="77777777" w:rsidR="0040034A" w:rsidRPr="001766AB" w:rsidRDefault="0040034A" w:rsidP="001766AB">
      <w:pPr>
        <w:rPr>
          <w:bCs/>
        </w:rPr>
      </w:pPr>
    </w:p>
    <w:p w14:paraId="56665A22" w14:textId="24E8552B" w:rsidR="002E6317" w:rsidRPr="002E6317" w:rsidRDefault="002E6317" w:rsidP="00B85DD9">
      <w:pPr>
        <w:rPr>
          <w:bCs/>
        </w:rPr>
      </w:pPr>
      <w:r w:rsidRPr="005E5931">
        <w:rPr>
          <w:b/>
        </w:rPr>
        <w:t>Oral health</w:t>
      </w:r>
      <w:r w:rsidRPr="001766AB">
        <w:rPr>
          <w:bCs/>
        </w:rPr>
        <w:t xml:space="preserve">: A standard of health of the oral and related tissues that enables an individual to eat, speak and </w:t>
      </w:r>
      <w:proofErr w:type="spellStart"/>
      <w:r w:rsidRPr="001766AB">
        <w:rPr>
          <w:bCs/>
        </w:rPr>
        <w:t>sociali</w:t>
      </w:r>
      <w:r>
        <w:rPr>
          <w:bCs/>
        </w:rPr>
        <w:t>s</w:t>
      </w:r>
      <w:r w:rsidRPr="001766AB">
        <w:rPr>
          <w:bCs/>
        </w:rPr>
        <w:t>e</w:t>
      </w:r>
      <w:proofErr w:type="spellEnd"/>
      <w:r w:rsidRPr="001766AB">
        <w:rPr>
          <w:bCs/>
        </w:rPr>
        <w:t xml:space="preserve"> without active disease, discomfort or embarrassment and that contributes to general wellbeing.</w:t>
      </w:r>
      <w:r w:rsidRPr="005E5931">
        <w:rPr>
          <w:vertAlign w:val="superscript"/>
        </w:rPr>
        <w:footnoteReference w:id="14"/>
      </w:r>
    </w:p>
    <w:sectPr w:rsidR="002E6317" w:rsidRPr="002E6317">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EA85" w14:textId="77777777" w:rsidR="00A47782" w:rsidRDefault="00A47782" w:rsidP="002F1FE0">
      <w:pPr>
        <w:spacing w:line="240" w:lineRule="auto"/>
      </w:pPr>
      <w:r>
        <w:separator/>
      </w:r>
    </w:p>
  </w:endnote>
  <w:endnote w:type="continuationSeparator" w:id="0">
    <w:p w14:paraId="47B7F1E3" w14:textId="77777777" w:rsidR="00A47782" w:rsidRDefault="00A47782" w:rsidP="002F1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1B16" w14:textId="35DF5934" w:rsidR="002F1FE0" w:rsidRDefault="002F1FE0" w:rsidP="005823C6">
    <w:pPr>
      <w:pStyle w:val="Footer"/>
    </w:pPr>
    <w:r>
      <w:t xml:space="preserve">CSPS </w:t>
    </w:r>
    <w:r w:rsidR="00D52BBE">
      <w:t>Healthy Eating and Oral Health</w:t>
    </w:r>
    <w:r>
      <w:t xml:space="preserve"> Policy </w:t>
    </w:r>
    <w:r w:rsidR="005823C6">
      <w:t xml:space="preserve">– </w:t>
    </w:r>
    <w:r w:rsidR="00623757">
      <w:t>December</w:t>
    </w:r>
    <w:r>
      <w:t xml:space="preserve"> 2022</w:t>
    </w:r>
    <w:r>
      <w:tab/>
      <w:t xml:space="preserve">Page </w:t>
    </w:r>
    <w:sdt>
      <w:sdtPr>
        <w:id w:val="-13373719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1628">
          <w:rPr>
            <w:noProof/>
          </w:rPr>
          <w:t>1</w:t>
        </w:r>
        <w:r>
          <w:rPr>
            <w:noProof/>
          </w:rPr>
          <w:fldChar w:fldCharType="end"/>
        </w:r>
      </w:sdtContent>
    </w:sdt>
  </w:p>
  <w:p w14:paraId="16E17FC7" w14:textId="39ECD2FE" w:rsidR="002F1FE0" w:rsidRDefault="002F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4A5E0" w14:textId="77777777" w:rsidR="00A47782" w:rsidRDefault="00A47782" w:rsidP="002F1FE0">
      <w:pPr>
        <w:spacing w:line="240" w:lineRule="auto"/>
      </w:pPr>
      <w:r>
        <w:separator/>
      </w:r>
    </w:p>
  </w:footnote>
  <w:footnote w:type="continuationSeparator" w:id="0">
    <w:p w14:paraId="7AC7B27C" w14:textId="77777777" w:rsidR="00A47782" w:rsidRDefault="00A47782" w:rsidP="002F1FE0">
      <w:pPr>
        <w:spacing w:line="240" w:lineRule="auto"/>
      </w:pPr>
      <w:r>
        <w:continuationSeparator/>
      </w:r>
    </w:p>
  </w:footnote>
  <w:footnote w:id="1">
    <w:p w14:paraId="52893D08" w14:textId="0F85005F" w:rsidR="00D56AF6" w:rsidRDefault="00D56AF6">
      <w:pPr>
        <w:pStyle w:val="FootnoteText"/>
      </w:pPr>
      <w:r>
        <w:rPr>
          <w:rStyle w:val="FootnoteReference"/>
        </w:rPr>
        <w:footnoteRef/>
      </w:r>
      <w:r>
        <w:t xml:space="preserve"> </w:t>
      </w:r>
      <w:r w:rsidRPr="00D56AF6">
        <w:t>https://www.who.int/health-topics/health-promoting-schools</w:t>
      </w:r>
    </w:p>
  </w:footnote>
  <w:footnote w:id="2">
    <w:p w14:paraId="46619026" w14:textId="2BF00167" w:rsidR="002E31B8" w:rsidRDefault="002E31B8">
      <w:pPr>
        <w:pStyle w:val="FootnoteText"/>
      </w:pPr>
      <w:r>
        <w:rPr>
          <w:rStyle w:val="FootnoteReference"/>
        </w:rPr>
        <w:footnoteRef/>
      </w:r>
      <w:r>
        <w:t xml:space="preserve"> </w:t>
      </w:r>
      <w:r w:rsidRPr="002E31B8">
        <w:t>https://heas.health.vic.gov.au/schools/classroom/food-mood-and-learning</w:t>
      </w:r>
    </w:p>
  </w:footnote>
  <w:footnote w:id="3">
    <w:p w14:paraId="173485EB" w14:textId="65F92BE1" w:rsidR="00CC4C6D" w:rsidRDefault="00CC4C6D">
      <w:pPr>
        <w:pStyle w:val="FootnoteText"/>
      </w:pPr>
      <w:r>
        <w:rPr>
          <w:rStyle w:val="FootnoteReference"/>
        </w:rPr>
        <w:footnoteRef/>
      </w:r>
      <w:r>
        <w:t xml:space="preserve"> </w:t>
      </w:r>
      <w:r w:rsidR="009D5330">
        <w:t>AIHW</w:t>
      </w:r>
      <w:r>
        <w:t xml:space="preserve"> 2021. Australian Burden of Disease Study (2018)</w:t>
      </w:r>
      <w:r w:rsidR="009D5330">
        <w:t>;</w:t>
      </w:r>
      <w:r w:rsidR="009D5330" w:rsidRPr="009D5330">
        <w:t xml:space="preserve"> https://pubmed.ncbi.nlm.nih.gov/30700377/</w:t>
      </w:r>
    </w:p>
  </w:footnote>
  <w:footnote w:id="4">
    <w:p w14:paraId="29A3200C" w14:textId="77777777" w:rsidR="004E359C" w:rsidRDefault="004E359C" w:rsidP="004E359C">
      <w:pPr>
        <w:pStyle w:val="FootnoteText"/>
      </w:pPr>
      <w:r>
        <w:rPr>
          <w:rStyle w:val="FootnoteReference"/>
        </w:rPr>
        <w:footnoteRef/>
      </w:r>
      <w:r>
        <w:t xml:space="preserve"> Rogers JG, 2011, Evidence-based oral health promotion resource. Prevention and Population Health Branch, Government of Victoria, Department of Health, Melbourne.</w:t>
      </w:r>
    </w:p>
  </w:footnote>
  <w:footnote w:id="5">
    <w:p w14:paraId="23FC1963" w14:textId="18B8C452" w:rsidR="00E25DC9" w:rsidRDefault="00E25DC9">
      <w:pPr>
        <w:pStyle w:val="FootnoteText"/>
      </w:pPr>
      <w:r>
        <w:rPr>
          <w:rStyle w:val="FootnoteReference"/>
        </w:rPr>
        <w:footnoteRef/>
      </w:r>
      <w:r>
        <w:t xml:space="preserve"> </w:t>
      </w:r>
      <w:hyperlink r:id="rId1" w:history="1">
        <w:r w:rsidRPr="00786782">
          <w:rPr>
            <w:rStyle w:val="Hyperlink"/>
          </w:rPr>
          <w:t>https://www.achievementprogram.health.vic.gov.au/education/schools</w:t>
        </w:r>
      </w:hyperlink>
    </w:p>
  </w:footnote>
  <w:footnote w:id="6">
    <w:p w14:paraId="56BC87B1" w14:textId="77777777" w:rsidR="009F4259" w:rsidRDefault="009F4259" w:rsidP="009F4259">
      <w:pPr>
        <w:pStyle w:val="FootnoteText"/>
      </w:pPr>
      <w:r>
        <w:rPr>
          <w:rStyle w:val="FootnoteReference"/>
        </w:rPr>
        <w:footnoteRef/>
      </w:r>
      <w:r>
        <w:t xml:space="preserve"> </w:t>
      </w:r>
      <w:hyperlink r:id="rId2" w:history="1">
        <w:r w:rsidRPr="00786782">
          <w:rPr>
            <w:rStyle w:val="Hyperlink"/>
          </w:rPr>
          <w:t>https://eatforum.org/eat-lancet-commission/</w:t>
        </w:r>
      </w:hyperlink>
      <w:r>
        <w:t xml:space="preserve"> </w:t>
      </w:r>
    </w:p>
  </w:footnote>
  <w:footnote w:id="7">
    <w:p w14:paraId="2020B047" w14:textId="13AE179D" w:rsidR="00EF1BA7" w:rsidRDefault="00EF1BA7">
      <w:pPr>
        <w:pStyle w:val="FootnoteText"/>
      </w:pPr>
      <w:r>
        <w:rPr>
          <w:rStyle w:val="FootnoteReference"/>
        </w:rPr>
        <w:footnoteRef/>
      </w:r>
      <w:r>
        <w:t xml:space="preserve"> </w:t>
      </w:r>
      <w:hyperlink r:id="rId3" w:history="1">
        <w:r w:rsidRPr="0020231D">
          <w:rPr>
            <w:rStyle w:val="Hyperlink"/>
          </w:rPr>
          <w:t>https://eatforum.org/eat-lancet-commission/</w:t>
        </w:r>
      </w:hyperlink>
      <w:r>
        <w:t xml:space="preserve"> </w:t>
      </w:r>
    </w:p>
  </w:footnote>
  <w:footnote w:id="8">
    <w:p w14:paraId="6D4453EE" w14:textId="341C8FA3" w:rsidR="00D94B0C" w:rsidRDefault="00D94B0C">
      <w:pPr>
        <w:pStyle w:val="FootnoteText"/>
      </w:pPr>
      <w:r>
        <w:rPr>
          <w:rStyle w:val="FootnoteReference"/>
        </w:rPr>
        <w:footnoteRef/>
      </w:r>
      <w:r>
        <w:t xml:space="preserve"> </w:t>
      </w:r>
      <w:r w:rsidRPr="00D23347">
        <w:rPr>
          <w:bCs/>
        </w:rPr>
        <w:t>National Health and Medical Research Council,</w:t>
      </w:r>
      <w:r>
        <w:rPr>
          <w:bCs/>
        </w:rPr>
        <w:t xml:space="preserve"> 2013, </w:t>
      </w:r>
      <w:r w:rsidRPr="006257E8">
        <w:rPr>
          <w:bCs/>
        </w:rPr>
        <w:t>Australian Dietary Guidelines</w:t>
      </w:r>
      <w:r>
        <w:rPr>
          <w:bCs/>
        </w:rPr>
        <w:t xml:space="preserve">, </w:t>
      </w:r>
      <w:hyperlink r:id="rId4" w:history="1">
        <w:r w:rsidRPr="00D95AD9">
          <w:rPr>
            <w:rStyle w:val="Hyperlink"/>
            <w:bCs/>
          </w:rPr>
          <w:t>http://www.eatforhealth.gov.au</w:t>
        </w:r>
      </w:hyperlink>
    </w:p>
  </w:footnote>
  <w:footnote w:id="9">
    <w:p w14:paraId="02879EB0" w14:textId="232BEB5C" w:rsidR="003773A1" w:rsidRDefault="003773A1">
      <w:pPr>
        <w:pStyle w:val="FootnoteText"/>
      </w:pPr>
      <w:r>
        <w:rPr>
          <w:rStyle w:val="FootnoteReference"/>
        </w:rPr>
        <w:footnoteRef/>
      </w:r>
      <w:r>
        <w:t xml:space="preserve"> </w:t>
      </w:r>
      <w:hyperlink r:id="rId5" w:history="1">
        <w:r w:rsidRPr="0020231D">
          <w:rPr>
            <w:rStyle w:val="Hyperlink"/>
          </w:rPr>
          <w:t>https://www.heartandstroke.ca/articles/what-is-ultra-processed-food</w:t>
        </w:r>
      </w:hyperlink>
      <w:r>
        <w:t xml:space="preserve"> </w:t>
      </w:r>
    </w:p>
  </w:footnote>
  <w:footnote w:id="10">
    <w:p w14:paraId="539DA6D7" w14:textId="77777777" w:rsidR="004E359C" w:rsidRPr="006257E8" w:rsidRDefault="004E359C" w:rsidP="004E359C">
      <w:pPr>
        <w:autoSpaceDE w:val="0"/>
        <w:autoSpaceDN w:val="0"/>
        <w:adjustRightInd w:val="0"/>
        <w:spacing w:before="60" w:after="60"/>
        <w:rPr>
          <w:bCs/>
          <w:sz w:val="16"/>
          <w:szCs w:val="16"/>
        </w:rPr>
      </w:pPr>
      <w:r w:rsidRPr="006257E8">
        <w:rPr>
          <w:rStyle w:val="FootnoteReference"/>
          <w:sz w:val="16"/>
          <w:szCs w:val="16"/>
        </w:rPr>
        <w:footnoteRef/>
      </w:r>
      <w:r w:rsidRPr="006257E8">
        <w:rPr>
          <w:sz w:val="16"/>
          <w:szCs w:val="16"/>
        </w:rPr>
        <w:t xml:space="preserve"> </w:t>
      </w:r>
      <w:r w:rsidRPr="006257E8">
        <w:rPr>
          <w:bCs/>
          <w:sz w:val="16"/>
          <w:szCs w:val="16"/>
        </w:rPr>
        <w:t xml:space="preserve">Nutrition Australia Victorian Division, </w:t>
      </w:r>
      <w:hyperlink r:id="rId6" w:history="1">
        <w:r w:rsidRPr="00A14FE0">
          <w:rPr>
            <w:rStyle w:val="Hyperlink"/>
            <w:bCs/>
            <w:sz w:val="16"/>
            <w:szCs w:val="16"/>
          </w:rPr>
          <w:t>https://www.nutritionaustralia.org/</w:t>
        </w:r>
      </w:hyperlink>
    </w:p>
  </w:footnote>
  <w:footnote w:id="11">
    <w:p w14:paraId="0E774395" w14:textId="77777777" w:rsidR="004E359C" w:rsidRPr="006257E8" w:rsidRDefault="004E359C" w:rsidP="004E359C">
      <w:pPr>
        <w:pStyle w:val="FootnoteText"/>
      </w:pPr>
      <w:r w:rsidRPr="006257E8">
        <w:rPr>
          <w:rStyle w:val="FootnoteReference"/>
        </w:rPr>
        <w:footnoteRef/>
      </w:r>
      <w:r w:rsidRPr="006257E8">
        <w:t xml:space="preserve"> </w:t>
      </w:r>
      <w:r w:rsidRPr="00D23347">
        <w:rPr>
          <w:bCs/>
        </w:rPr>
        <w:t>National Health and Medical Research Council,</w:t>
      </w:r>
      <w:r>
        <w:rPr>
          <w:bCs/>
        </w:rPr>
        <w:t xml:space="preserve"> 2013, </w:t>
      </w:r>
      <w:r w:rsidRPr="006257E8">
        <w:rPr>
          <w:bCs/>
        </w:rPr>
        <w:t>Australian Dietary Guidelines</w:t>
      </w:r>
      <w:r>
        <w:rPr>
          <w:bCs/>
        </w:rPr>
        <w:t xml:space="preserve">, </w:t>
      </w:r>
      <w:hyperlink r:id="rId7" w:history="1">
        <w:r w:rsidRPr="00D95AD9">
          <w:rPr>
            <w:rStyle w:val="Hyperlink"/>
            <w:bCs/>
          </w:rPr>
          <w:t>http://www.eatforhealth.gov.au</w:t>
        </w:r>
      </w:hyperlink>
    </w:p>
  </w:footnote>
  <w:footnote w:id="12">
    <w:p w14:paraId="1068632E" w14:textId="77777777" w:rsidR="004E359C" w:rsidRPr="006257E8" w:rsidRDefault="004E359C" w:rsidP="004E359C">
      <w:pPr>
        <w:pStyle w:val="FootnoteText"/>
      </w:pPr>
      <w:r w:rsidRPr="00B9747D">
        <w:rPr>
          <w:rStyle w:val="FootnoteReference"/>
        </w:rPr>
        <w:footnoteRef/>
      </w:r>
      <w:r w:rsidRPr="00B9747D">
        <w:t xml:space="preserve"> </w:t>
      </w:r>
      <w:r w:rsidRPr="00B9747D">
        <w:rPr>
          <w:bCs/>
        </w:rPr>
        <w:t xml:space="preserve">Commonwealth of Australia, 2009, Get Up &amp; Grow: Healthy Eating and Physical Activity for Early Childhood, </w:t>
      </w:r>
      <w:hyperlink r:id="rId8" w:history="1">
        <w:r w:rsidRPr="002D2265">
          <w:rPr>
            <w:rStyle w:val="Hyperlink"/>
          </w:rPr>
          <w:t>https://www1.health.gov.au/internet/main/publishing.nsf/Content/phd-early-childhood-nutrition-resources</w:t>
        </w:r>
      </w:hyperlink>
      <w:r>
        <w:t xml:space="preserve"> </w:t>
      </w:r>
    </w:p>
  </w:footnote>
  <w:footnote w:id="13">
    <w:p w14:paraId="7B54410A" w14:textId="77777777" w:rsidR="00A53488" w:rsidRPr="006257E8" w:rsidRDefault="00A53488" w:rsidP="00A53488">
      <w:pPr>
        <w:pStyle w:val="FootnoteText"/>
        <w:rPr>
          <w:bCs/>
        </w:rPr>
      </w:pPr>
      <w:r w:rsidRPr="006257E8">
        <w:rPr>
          <w:rStyle w:val="FootnoteReference"/>
        </w:rPr>
        <w:footnoteRef/>
      </w:r>
      <w:r w:rsidRPr="006257E8">
        <w:t xml:space="preserve"> </w:t>
      </w:r>
      <w:r w:rsidRPr="006257E8">
        <w:rPr>
          <w:bCs/>
        </w:rPr>
        <w:t>Vidgen HA, Gallegos D, 2014</w:t>
      </w:r>
      <w:r>
        <w:rPr>
          <w:bCs/>
        </w:rPr>
        <w:t>,</w:t>
      </w:r>
      <w:r w:rsidRPr="006257E8">
        <w:rPr>
          <w:bCs/>
        </w:rPr>
        <w:t xml:space="preserve"> Defining Food Literacy and its components</w:t>
      </w:r>
      <w:r>
        <w:rPr>
          <w:bCs/>
        </w:rPr>
        <w:t>,</w:t>
      </w:r>
      <w:r w:rsidRPr="006257E8">
        <w:rPr>
          <w:bCs/>
        </w:rPr>
        <w:t xml:space="preserve"> </w:t>
      </w:r>
      <w:r w:rsidRPr="005C6697">
        <w:rPr>
          <w:bCs/>
          <w:i/>
          <w:iCs/>
        </w:rPr>
        <w:t>Appetite</w:t>
      </w:r>
      <w:r w:rsidRPr="006257E8">
        <w:rPr>
          <w:bCs/>
        </w:rPr>
        <w:t>, 76, 50-59</w:t>
      </w:r>
      <w:r>
        <w:rPr>
          <w:bCs/>
        </w:rPr>
        <w:t>,</w:t>
      </w:r>
      <w:r w:rsidRPr="006257E8">
        <w:rPr>
          <w:bCs/>
        </w:rPr>
        <w:t xml:space="preserve"> Retrieved from </w:t>
      </w:r>
      <w:hyperlink r:id="rId9" w:history="1">
        <w:r w:rsidRPr="00462324">
          <w:rPr>
            <w:rStyle w:val="Hyperlink"/>
            <w:bCs/>
          </w:rPr>
          <w:t xml:space="preserve">https://blogs.deakin.edu.au/apfnc/wp-content/uploads/sites/119/2015/06/Vidgen_2014_food-literacy-Appetite.pdf  </w:t>
        </w:r>
      </w:hyperlink>
      <w:r>
        <w:rPr>
          <w:bCs/>
        </w:rPr>
        <w:t xml:space="preserve"> </w:t>
      </w:r>
    </w:p>
  </w:footnote>
  <w:footnote w:id="14">
    <w:p w14:paraId="29B5220F" w14:textId="77777777" w:rsidR="002E6317" w:rsidRPr="00BD6F30" w:rsidRDefault="002E6317" w:rsidP="002E6317">
      <w:pPr>
        <w:pStyle w:val="FootnoteText"/>
        <w:rPr>
          <w:rFonts w:asciiTheme="minorHAnsi" w:hAnsiTheme="minorHAnsi" w:cstheme="minorHAnsi"/>
        </w:rPr>
      </w:pPr>
      <w:r w:rsidRPr="006257E8">
        <w:rPr>
          <w:rStyle w:val="FootnoteReference"/>
        </w:rPr>
        <w:footnoteRef/>
      </w:r>
      <w:r w:rsidRPr="006257E8">
        <w:t xml:space="preserve"> COAG Health Council</w:t>
      </w:r>
      <w:r>
        <w:t>,</w:t>
      </w:r>
      <w:r w:rsidRPr="006257E8">
        <w:t xml:space="preserve"> 2015</w:t>
      </w:r>
      <w:r>
        <w:t>,</w:t>
      </w:r>
      <w:r w:rsidRPr="006257E8">
        <w:t xml:space="preserve"> Healthy Mouths Healthy Lives: Australia’s National Oral Health Plan 2015-2024</w:t>
      </w:r>
      <w:r>
        <w:t>,</w:t>
      </w:r>
      <w:r w:rsidRPr="006257E8">
        <w:t xml:space="preserve"> </w:t>
      </w:r>
      <w:hyperlink r:id="rId10" w:history="1">
        <w:r w:rsidRPr="006257E8">
          <w:rPr>
            <w:rStyle w:val="Hyperlink"/>
          </w:rPr>
          <w:t>http://www.coaghealthcouncil.gov.au/Publications/Reports/ArtMID/514/ArticleID/81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9CF"/>
    <w:multiLevelType w:val="hybridMultilevel"/>
    <w:tmpl w:val="B5AC0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8630D6"/>
    <w:multiLevelType w:val="hybridMultilevel"/>
    <w:tmpl w:val="74706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551014"/>
    <w:multiLevelType w:val="hybridMultilevel"/>
    <w:tmpl w:val="008A0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5B6ACF"/>
    <w:multiLevelType w:val="hybridMultilevel"/>
    <w:tmpl w:val="A9FCDD46"/>
    <w:lvl w:ilvl="0" w:tplc="45121094">
      <w:start w:val="1"/>
      <w:numFmt w:val="bullet"/>
      <w:lvlText w:val=""/>
      <w:lvlJc w:val="left"/>
      <w:pPr>
        <w:ind w:left="720" w:hanging="360"/>
      </w:pPr>
      <w:rPr>
        <w:rFonts w:ascii="Symbol" w:hAnsi="Symbol" w:hint="default"/>
        <w:sz w:val="19"/>
        <w:szCs w:val="1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F71C06"/>
    <w:multiLevelType w:val="hybridMultilevel"/>
    <w:tmpl w:val="71A65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934692"/>
    <w:multiLevelType w:val="hybridMultilevel"/>
    <w:tmpl w:val="3F565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DB2EB8"/>
    <w:multiLevelType w:val="hybridMultilevel"/>
    <w:tmpl w:val="CB38D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CA00B5"/>
    <w:multiLevelType w:val="hybridMultilevel"/>
    <w:tmpl w:val="80FE3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A277B8"/>
    <w:multiLevelType w:val="hybridMultilevel"/>
    <w:tmpl w:val="28C8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46CA6"/>
    <w:multiLevelType w:val="hybridMultilevel"/>
    <w:tmpl w:val="BDD40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A84903"/>
    <w:multiLevelType w:val="hybridMultilevel"/>
    <w:tmpl w:val="020264F4"/>
    <w:lvl w:ilvl="0" w:tplc="780607D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77D76FA"/>
    <w:multiLevelType w:val="hybridMultilevel"/>
    <w:tmpl w:val="37066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1362CC"/>
    <w:multiLevelType w:val="multilevel"/>
    <w:tmpl w:val="D6DA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96C17"/>
    <w:multiLevelType w:val="hybridMultilevel"/>
    <w:tmpl w:val="D93C4B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0E56A4"/>
    <w:multiLevelType w:val="hybridMultilevel"/>
    <w:tmpl w:val="4E1C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BA1E5A"/>
    <w:multiLevelType w:val="multilevel"/>
    <w:tmpl w:val="DD605672"/>
    <w:styleLink w:val="ZZBullets"/>
    <w:lvl w:ilvl="0">
      <w:start w:val="1"/>
      <w:numFmt w:val="bullet"/>
      <w:pStyle w:val="APbullet1"/>
      <w:lvlText w:val="•"/>
      <w:lvlJc w:val="left"/>
      <w:pPr>
        <w:ind w:left="284" w:hanging="284"/>
      </w:pPr>
      <w:rPr>
        <w:rFonts w:ascii="Calibri" w:hAnsi="Calibri" w:hint="default"/>
      </w:rPr>
    </w:lvl>
    <w:lvl w:ilvl="1">
      <w:start w:val="1"/>
      <w:numFmt w:val="bullet"/>
      <w:lvlRestart w:val="0"/>
      <w:pStyle w:val="AP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6BE0423"/>
    <w:multiLevelType w:val="hybridMultilevel"/>
    <w:tmpl w:val="717045DA"/>
    <w:lvl w:ilvl="0" w:tplc="2E96992C">
      <w:start w:val="1"/>
      <w:numFmt w:val="bullet"/>
      <w:lvlText w:val=""/>
      <w:lvlJc w:val="left"/>
      <w:pPr>
        <w:ind w:left="360" w:hanging="360"/>
      </w:pPr>
      <w:rPr>
        <w:rFonts w:ascii="Symbol" w:hAnsi="Symbol" w:hint="default"/>
        <w:sz w:val="19"/>
        <w:szCs w:val="1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6C03AE9"/>
    <w:multiLevelType w:val="hybridMultilevel"/>
    <w:tmpl w:val="65E0C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201121"/>
    <w:multiLevelType w:val="hybridMultilevel"/>
    <w:tmpl w:val="322AC900"/>
    <w:lvl w:ilvl="0" w:tplc="13BEA64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1C46654"/>
    <w:multiLevelType w:val="hybridMultilevel"/>
    <w:tmpl w:val="DC30B8DE"/>
    <w:lvl w:ilvl="0" w:tplc="21FC1C2C">
      <w:start w:val="1"/>
      <w:numFmt w:val="bullet"/>
      <w:lvlText w:val=""/>
      <w:lvlJc w:val="left"/>
      <w:pPr>
        <w:ind w:left="360" w:hanging="360"/>
      </w:pPr>
      <w:rPr>
        <w:rFonts w:ascii="Symbol" w:hAnsi="Symbol" w:hint="default"/>
        <w:color w:val="auto"/>
        <w:sz w:val="19"/>
        <w:szCs w:val="19"/>
      </w:rPr>
    </w:lvl>
    <w:lvl w:ilvl="1" w:tplc="2CDC64B8">
      <w:numFmt w:val="bullet"/>
      <w:lvlText w:val="•"/>
      <w:lvlJc w:val="left"/>
      <w:pPr>
        <w:ind w:left="1080" w:hanging="360"/>
      </w:pPr>
      <w:rPr>
        <w:rFonts w:ascii="Arial" w:eastAsia="MS Mincho" w:hAnsi="Arial" w:cs="Arial" w:hint="default"/>
        <w:b w:val="0"/>
        <w:color w:val="FF0000"/>
      </w:rPr>
    </w:lvl>
    <w:lvl w:ilvl="2" w:tplc="63D2D49E" w:tentative="1">
      <w:start w:val="1"/>
      <w:numFmt w:val="bullet"/>
      <w:lvlText w:val=""/>
      <w:lvlJc w:val="left"/>
      <w:pPr>
        <w:ind w:left="1800" w:hanging="360"/>
      </w:pPr>
      <w:rPr>
        <w:rFonts w:ascii="Wingdings" w:hAnsi="Wingdings" w:hint="default"/>
      </w:rPr>
    </w:lvl>
    <w:lvl w:ilvl="3" w:tplc="30105F70" w:tentative="1">
      <w:start w:val="1"/>
      <w:numFmt w:val="bullet"/>
      <w:lvlText w:val=""/>
      <w:lvlJc w:val="left"/>
      <w:pPr>
        <w:ind w:left="2520" w:hanging="360"/>
      </w:pPr>
      <w:rPr>
        <w:rFonts w:ascii="Symbol" w:hAnsi="Symbol" w:hint="default"/>
      </w:rPr>
    </w:lvl>
    <w:lvl w:ilvl="4" w:tplc="D3702526" w:tentative="1">
      <w:start w:val="1"/>
      <w:numFmt w:val="bullet"/>
      <w:lvlText w:val="o"/>
      <w:lvlJc w:val="left"/>
      <w:pPr>
        <w:ind w:left="3240" w:hanging="360"/>
      </w:pPr>
      <w:rPr>
        <w:rFonts w:ascii="Courier New" w:hAnsi="Courier New" w:cs="Courier New" w:hint="default"/>
      </w:rPr>
    </w:lvl>
    <w:lvl w:ilvl="5" w:tplc="7EF03316" w:tentative="1">
      <w:start w:val="1"/>
      <w:numFmt w:val="bullet"/>
      <w:lvlText w:val=""/>
      <w:lvlJc w:val="left"/>
      <w:pPr>
        <w:ind w:left="3960" w:hanging="360"/>
      </w:pPr>
      <w:rPr>
        <w:rFonts w:ascii="Wingdings" w:hAnsi="Wingdings" w:hint="default"/>
      </w:rPr>
    </w:lvl>
    <w:lvl w:ilvl="6" w:tplc="4EB6FDDC" w:tentative="1">
      <w:start w:val="1"/>
      <w:numFmt w:val="bullet"/>
      <w:lvlText w:val=""/>
      <w:lvlJc w:val="left"/>
      <w:pPr>
        <w:ind w:left="4680" w:hanging="360"/>
      </w:pPr>
      <w:rPr>
        <w:rFonts w:ascii="Symbol" w:hAnsi="Symbol" w:hint="default"/>
      </w:rPr>
    </w:lvl>
    <w:lvl w:ilvl="7" w:tplc="A9AE2D30" w:tentative="1">
      <w:start w:val="1"/>
      <w:numFmt w:val="bullet"/>
      <w:lvlText w:val="o"/>
      <w:lvlJc w:val="left"/>
      <w:pPr>
        <w:ind w:left="5400" w:hanging="360"/>
      </w:pPr>
      <w:rPr>
        <w:rFonts w:ascii="Courier New" w:hAnsi="Courier New" w:cs="Courier New" w:hint="default"/>
      </w:rPr>
    </w:lvl>
    <w:lvl w:ilvl="8" w:tplc="FA0A06BA" w:tentative="1">
      <w:start w:val="1"/>
      <w:numFmt w:val="bullet"/>
      <w:lvlText w:val=""/>
      <w:lvlJc w:val="left"/>
      <w:pPr>
        <w:ind w:left="6120" w:hanging="360"/>
      </w:pPr>
      <w:rPr>
        <w:rFonts w:ascii="Wingdings" w:hAnsi="Wingdings" w:hint="default"/>
      </w:rPr>
    </w:lvl>
  </w:abstractNum>
  <w:abstractNum w:abstractNumId="20" w15:restartNumberingAfterBreak="0">
    <w:nsid w:val="6FAF6B65"/>
    <w:multiLevelType w:val="hybridMultilevel"/>
    <w:tmpl w:val="AA146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0DA1F26"/>
    <w:multiLevelType w:val="hybridMultilevel"/>
    <w:tmpl w:val="3BF22EBC"/>
    <w:lvl w:ilvl="0" w:tplc="645EE31E">
      <w:start w:val="1"/>
      <w:numFmt w:val="bullet"/>
      <w:lvlText w:val=""/>
      <w:lvlJc w:val="left"/>
      <w:pPr>
        <w:ind w:left="360" w:hanging="360"/>
      </w:pPr>
      <w:rPr>
        <w:rFonts w:ascii="Symbol" w:hAnsi="Symbol" w:hint="default"/>
        <w:sz w:val="19"/>
        <w:szCs w:val="1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0E431C8"/>
    <w:multiLevelType w:val="hybridMultilevel"/>
    <w:tmpl w:val="1D7EB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3833E16"/>
    <w:multiLevelType w:val="hybridMultilevel"/>
    <w:tmpl w:val="2F842BD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4" w15:restartNumberingAfterBreak="0">
    <w:nsid w:val="78B043F6"/>
    <w:multiLevelType w:val="hybridMultilevel"/>
    <w:tmpl w:val="0A723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8D2704C"/>
    <w:multiLevelType w:val="hybridMultilevel"/>
    <w:tmpl w:val="AB903FB4"/>
    <w:lvl w:ilvl="0" w:tplc="F8600ACC">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EEF60AC"/>
    <w:multiLevelType w:val="hybridMultilevel"/>
    <w:tmpl w:val="004CC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FAD5772"/>
    <w:multiLevelType w:val="hybridMultilevel"/>
    <w:tmpl w:val="059A3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7770885">
    <w:abstractNumId w:val="14"/>
  </w:num>
  <w:num w:numId="2" w16cid:durableId="1537814272">
    <w:abstractNumId w:val="12"/>
  </w:num>
  <w:num w:numId="3" w16cid:durableId="1624533417">
    <w:abstractNumId w:val="10"/>
  </w:num>
  <w:num w:numId="4" w16cid:durableId="1165320292">
    <w:abstractNumId w:val="6"/>
  </w:num>
  <w:num w:numId="5" w16cid:durableId="1442533817">
    <w:abstractNumId w:val="7"/>
  </w:num>
  <w:num w:numId="6" w16cid:durableId="1960338820">
    <w:abstractNumId w:val="0"/>
  </w:num>
  <w:num w:numId="7" w16cid:durableId="225842806">
    <w:abstractNumId w:val="3"/>
  </w:num>
  <w:num w:numId="8" w16cid:durableId="441270507">
    <w:abstractNumId w:val="16"/>
  </w:num>
  <w:num w:numId="9" w16cid:durableId="798039200">
    <w:abstractNumId w:val="11"/>
  </w:num>
  <w:num w:numId="10" w16cid:durableId="1572423642">
    <w:abstractNumId w:val="26"/>
  </w:num>
  <w:num w:numId="11" w16cid:durableId="1415205683">
    <w:abstractNumId w:val="5"/>
  </w:num>
  <w:num w:numId="12" w16cid:durableId="865293377">
    <w:abstractNumId w:val="17"/>
  </w:num>
  <w:num w:numId="13" w16cid:durableId="1156414744">
    <w:abstractNumId w:val="21"/>
  </w:num>
  <w:num w:numId="14" w16cid:durableId="616984537">
    <w:abstractNumId w:val="19"/>
  </w:num>
  <w:num w:numId="15" w16cid:durableId="430442301">
    <w:abstractNumId w:val="8"/>
  </w:num>
  <w:num w:numId="16" w16cid:durableId="820122351">
    <w:abstractNumId w:val="23"/>
  </w:num>
  <w:num w:numId="17" w16cid:durableId="1473983093">
    <w:abstractNumId w:val="4"/>
  </w:num>
  <w:num w:numId="18" w16cid:durableId="1442259319">
    <w:abstractNumId w:val="13"/>
  </w:num>
  <w:num w:numId="19" w16cid:durableId="657265367">
    <w:abstractNumId w:val="18"/>
  </w:num>
  <w:num w:numId="20" w16cid:durableId="374890860">
    <w:abstractNumId w:val="2"/>
  </w:num>
  <w:num w:numId="21" w16cid:durableId="1457018740">
    <w:abstractNumId w:val="15"/>
    <w:lvlOverride w:ilvl="0">
      <w:lvl w:ilvl="0">
        <w:start w:val="1"/>
        <w:numFmt w:val="bullet"/>
        <w:pStyle w:val="APbullet1"/>
        <w:lvlText w:val="•"/>
        <w:lvlJc w:val="left"/>
        <w:pPr>
          <w:ind w:left="284" w:hanging="284"/>
        </w:pPr>
        <w:rPr>
          <w:rFonts w:ascii="Symbol" w:hAnsi="Symbol" w:hint="default"/>
        </w:rPr>
      </w:lvl>
    </w:lvlOverride>
  </w:num>
  <w:num w:numId="22" w16cid:durableId="1470706095">
    <w:abstractNumId w:val="1"/>
  </w:num>
  <w:num w:numId="23" w16cid:durableId="947541178">
    <w:abstractNumId w:val="15"/>
  </w:num>
  <w:num w:numId="24" w16cid:durableId="982319565">
    <w:abstractNumId w:val="25"/>
  </w:num>
  <w:num w:numId="25" w16cid:durableId="2145349071">
    <w:abstractNumId w:val="9"/>
  </w:num>
  <w:num w:numId="26" w16cid:durableId="705788154">
    <w:abstractNumId w:val="20"/>
  </w:num>
  <w:num w:numId="27" w16cid:durableId="1769346138">
    <w:abstractNumId w:val="22"/>
  </w:num>
  <w:num w:numId="28" w16cid:durableId="2053993954">
    <w:abstractNumId w:val="24"/>
  </w:num>
  <w:num w:numId="29" w16cid:durableId="7078044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80"/>
    <w:rsid w:val="00035D7F"/>
    <w:rsid w:val="00055E70"/>
    <w:rsid w:val="000707BB"/>
    <w:rsid w:val="000750BF"/>
    <w:rsid w:val="00076845"/>
    <w:rsid w:val="00085C5E"/>
    <w:rsid w:val="00087F81"/>
    <w:rsid w:val="000A3E6F"/>
    <w:rsid w:val="000A43C0"/>
    <w:rsid w:val="000D4BEC"/>
    <w:rsid w:val="000E75BD"/>
    <w:rsid w:val="000F68C8"/>
    <w:rsid w:val="000F6FCA"/>
    <w:rsid w:val="001016B0"/>
    <w:rsid w:val="00103CDA"/>
    <w:rsid w:val="001041D9"/>
    <w:rsid w:val="00106C2A"/>
    <w:rsid w:val="00117D25"/>
    <w:rsid w:val="00127D7A"/>
    <w:rsid w:val="001766AB"/>
    <w:rsid w:val="0019779B"/>
    <w:rsid w:val="001C43A3"/>
    <w:rsid w:val="00220FD7"/>
    <w:rsid w:val="002315BB"/>
    <w:rsid w:val="00241EBB"/>
    <w:rsid w:val="00252140"/>
    <w:rsid w:val="0027190F"/>
    <w:rsid w:val="002A786D"/>
    <w:rsid w:val="002C6DA8"/>
    <w:rsid w:val="002E31B8"/>
    <w:rsid w:val="002E6317"/>
    <w:rsid w:val="002F1FE0"/>
    <w:rsid w:val="00305969"/>
    <w:rsid w:val="00313C99"/>
    <w:rsid w:val="00325BCB"/>
    <w:rsid w:val="0034074A"/>
    <w:rsid w:val="003462C7"/>
    <w:rsid w:val="003773A1"/>
    <w:rsid w:val="00382680"/>
    <w:rsid w:val="003B1628"/>
    <w:rsid w:val="003C6480"/>
    <w:rsid w:val="003D6586"/>
    <w:rsid w:val="0040034A"/>
    <w:rsid w:val="004205F7"/>
    <w:rsid w:val="00420E07"/>
    <w:rsid w:val="004279D7"/>
    <w:rsid w:val="004438AB"/>
    <w:rsid w:val="004670AA"/>
    <w:rsid w:val="004674AD"/>
    <w:rsid w:val="004804F1"/>
    <w:rsid w:val="00481D7D"/>
    <w:rsid w:val="00483F6D"/>
    <w:rsid w:val="00484A7F"/>
    <w:rsid w:val="00490BBB"/>
    <w:rsid w:val="004A6652"/>
    <w:rsid w:val="004D2437"/>
    <w:rsid w:val="004D61C6"/>
    <w:rsid w:val="004E359C"/>
    <w:rsid w:val="004E751F"/>
    <w:rsid w:val="004F7038"/>
    <w:rsid w:val="00506628"/>
    <w:rsid w:val="00577C96"/>
    <w:rsid w:val="005823C6"/>
    <w:rsid w:val="00593B33"/>
    <w:rsid w:val="00595CF4"/>
    <w:rsid w:val="005D6F0E"/>
    <w:rsid w:val="005E58B8"/>
    <w:rsid w:val="005E5931"/>
    <w:rsid w:val="005F52D3"/>
    <w:rsid w:val="00600CD7"/>
    <w:rsid w:val="0060150F"/>
    <w:rsid w:val="00604F3A"/>
    <w:rsid w:val="0062231B"/>
    <w:rsid w:val="00623757"/>
    <w:rsid w:val="00677343"/>
    <w:rsid w:val="006A3384"/>
    <w:rsid w:val="006B0248"/>
    <w:rsid w:val="006C5459"/>
    <w:rsid w:val="006D7B61"/>
    <w:rsid w:val="006E344E"/>
    <w:rsid w:val="006E5080"/>
    <w:rsid w:val="00713971"/>
    <w:rsid w:val="007300B4"/>
    <w:rsid w:val="007654DE"/>
    <w:rsid w:val="00766C05"/>
    <w:rsid w:val="00781960"/>
    <w:rsid w:val="00786408"/>
    <w:rsid w:val="00790318"/>
    <w:rsid w:val="0079761F"/>
    <w:rsid w:val="007A20BB"/>
    <w:rsid w:val="007B62F2"/>
    <w:rsid w:val="007F28AA"/>
    <w:rsid w:val="007F3C21"/>
    <w:rsid w:val="00805FE9"/>
    <w:rsid w:val="00810976"/>
    <w:rsid w:val="0083379F"/>
    <w:rsid w:val="00851EC8"/>
    <w:rsid w:val="00861A3E"/>
    <w:rsid w:val="00873727"/>
    <w:rsid w:val="0089596E"/>
    <w:rsid w:val="008B01A6"/>
    <w:rsid w:val="008B3DBD"/>
    <w:rsid w:val="008B5FB8"/>
    <w:rsid w:val="008C1855"/>
    <w:rsid w:val="00912A2B"/>
    <w:rsid w:val="00914251"/>
    <w:rsid w:val="009254C6"/>
    <w:rsid w:val="0097062A"/>
    <w:rsid w:val="00997FEE"/>
    <w:rsid w:val="009A3A8D"/>
    <w:rsid w:val="009B4E96"/>
    <w:rsid w:val="009D2E7F"/>
    <w:rsid w:val="009D5330"/>
    <w:rsid w:val="009F4259"/>
    <w:rsid w:val="00A47782"/>
    <w:rsid w:val="00A53488"/>
    <w:rsid w:val="00A926F0"/>
    <w:rsid w:val="00AF4F7E"/>
    <w:rsid w:val="00B006ED"/>
    <w:rsid w:val="00B13888"/>
    <w:rsid w:val="00B22ACA"/>
    <w:rsid w:val="00B52BE6"/>
    <w:rsid w:val="00B60F15"/>
    <w:rsid w:val="00B61B7A"/>
    <w:rsid w:val="00B85DD9"/>
    <w:rsid w:val="00BA3495"/>
    <w:rsid w:val="00BA38CD"/>
    <w:rsid w:val="00BD147D"/>
    <w:rsid w:val="00BE0CDC"/>
    <w:rsid w:val="00BE5479"/>
    <w:rsid w:val="00C02D74"/>
    <w:rsid w:val="00C04D72"/>
    <w:rsid w:val="00C076A0"/>
    <w:rsid w:val="00C13846"/>
    <w:rsid w:val="00C268A1"/>
    <w:rsid w:val="00C2742E"/>
    <w:rsid w:val="00C442D3"/>
    <w:rsid w:val="00C86025"/>
    <w:rsid w:val="00C97B3E"/>
    <w:rsid w:val="00CB3BC4"/>
    <w:rsid w:val="00CB7CF9"/>
    <w:rsid w:val="00CC23DF"/>
    <w:rsid w:val="00CC4C6D"/>
    <w:rsid w:val="00CC4C8E"/>
    <w:rsid w:val="00CE0A29"/>
    <w:rsid w:val="00CF1DF9"/>
    <w:rsid w:val="00D1146C"/>
    <w:rsid w:val="00D52BBE"/>
    <w:rsid w:val="00D554A8"/>
    <w:rsid w:val="00D56AF6"/>
    <w:rsid w:val="00D62CCF"/>
    <w:rsid w:val="00D85BBC"/>
    <w:rsid w:val="00D94B0C"/>
    <w:rsid w:val="00DD51B3"/>
    <w:rsid w:val="00DF2C4D"/>
    <w:rsid w:val="00DF65BD"/>
    <w:rsid w:val="00E01935"/>
    <w:rsid w:val="00E033C5"/>
    <w:rsid w:val="00E05D9F"/>
    <w:rsid w:val="00E118E1"/>
    <w:rsid w:val="00E17BCF"/>
    <w:rsid w:val="00E25DC9"/>
    <w:rsid w:val="00E61666"/>
    <w:rsid w:val="00E74581"/>
    <w:rsid w:val="00E74910"/>
    <w:rsid w:val="00E74D38"/>
    <w:rsid w:val="00E80149"/>
    <w:rsid w:val="00EE386A"/>
    <w:rsid w:val="00EE4CC0"/>
    <w:rsid w:val="00EF0EAD"/>
    <w:rsid w:val="00EF1BA7"/>
    <w:rsid w:val="00EF4047"/>
    <w:rsid w:val="00F00CB1"/>
    <w:rsid w:val="00F05E2A"/>
    <w:rsid w:val="00F07CAE"/>
    <w:rsid w:val="00F30CA6"/>
    <w:rsid w:val="00F601B9"/>
    <w:rsid w:val="00F74013"/>
    <w:rsid w:val="00F75315"/>
    <w:rsid w:val="00F87DBF"/>
    <w:rsid w:val="00FC1713"/>
    <w:rsid w:val="00FC458A"/>
    <w:rsid w:val="00FF0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3348"/>
  <w15:docId w15:val="{25860AF7-3501-4F9A-8222-D762FE29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E75BD"/>
    <w:rPr>
      <w:sz w:val="16"/>
      <w:szCs w:val="16"/>
    </w:rPr>
  </w:style>
  <w:style w:type="paragraph" w:styleId="CommentText">
    <w:name w:val="annotation text"/>
    <w:basedOn w:val="Normal"/>
    <w:link w:val="CommentTextChar"/>
    <w:uiPriority w:val="99"/>
    <w:unhideWhenUsed/>
    <w:rsid w:val="000E75BD"/>
    <w:pPr>
      <w:spacing w:line="240" w:lineRule="auto"/>
    </w:pPr>
    <w:rPr>
      <w:sz w:val="20"/>
      <w:szCs w:val="20"/>
    </w:rPr>
  </w:style>
  <w:style w:type="character" w:customStyle="1" w:styleId="CommentTextChar">
    <w:name w:val="Comment Text Char"/>
    <w:basedOn w:val="DefaultParagraphFont"/>
    <w:link w:val="CommentText"/>
    <w:uiPriority w:val="99"/>
    <w:rsid w:val="000E75BD"/>
    <w:rPr>
      <w:sz w:val="20"/>
      <w:szCs w:val="20"/>
    </w:rPr>
  </w:style>
  <w:style w:type="paragraph" w:styleId="CommentSubject">
    <w:name w:val="annotation subject"/>
    <w:basedOn w:val="CommentText"/>
    <w:next w:val="CommentText"/>
    <w:link w:val="CommentSubjectChar"/>
    <w:uiPriority w:val="99"/>
    <w:semiHidden/>
    <w:unhideWhenUsed/>
    <w:rsid w:val="000E75BD"/>
    <w:rPr>
      <w:b/>
      <w:bCs/>
    </w:rPr>
  </w:style>
  <w:style w:type="character" w:customStyle="1" w:styleId="CommentSubjectChar">
    <w:name w:val="Comment Subject Char"/>
    <w:basedOn w:val="CommentTextChar"/>
    <w:link w:val="CommentSubject"/>
    <w:uiPriority w:val="99"/>
    <w:semiHidden/>
    <w:rsid w:val="000E75BD"/>
    <w:rPr>
      <w:b/>
      <w:bCs/>
      <w:sz w:val="20"/>
      <w:szCs w:val="20"/>
    </w:rPr>
  </w:style>
  <w:style w:type="character" w:styleId="Hyperlink">
    <w:name w:val="Hyperlink"/>
    <w:basedOn w:val="DefaultParagraphFont"/>
    <w:uiPriority w:val="99"/>
    <w:unhideWhenUsed/>
    <w:rsid w:val="009254C6"/>
    <w:rPr>
      <w:color w:val="0000FF" w:themeColor="hyperlink"/>
      <w:u w:val="single"/>
    </w:rPr>
  </w:style>
  <w:style w:type="character" w:customStyle="1" w:styleId="UnresolvedMention1">
    <w:name w:val="Unresolved Mention1"/>
    <w:basedOn w:val="DefaultParagraphFont"/>
    <w:uiPriority w:val="99"/>
    <w:semiHidden/>
    <w:unhideWhenUsed/>
    <w:rsid w:val="009254C6"/>
    <w:rPr>
      <w:color w:val="605E5C"/>
      <w:shd w:val="clear" w:color="auto" w:fill="E1DFDD"/>
    </w:rPr>
  </w:style>
  <w:style w:type="paragraph" w:styleId="ListParagraph">
    <w:name w:val="List Paragraph"/>
    <w:basedOn w:val="Normal"/>
    <w:uiPriority w:val="72"/>
    <w:qFormat/>
    <w:rsid w:val="00F601B9"/>
    <w:pPr>
      <w:ind w:left="720"/>
      <w:contextualSpacing/>
    </w:pPr>
  </w:style>
  <w:style w:type="paragraph" w:styleId="Header">
    <w:name w:val="header"/>
    <w:basedOn w:val="Normal"/>
    <w:link w:val="HeaderChar"/>
    <w:uiPriority w:val="99"/>
    <w:unhideWhenUsed/>
    <w:rsid w:val="002F1FE0"/>
    <w:pPr>
      <w:tabs>
        <w:tab w:val="center" w:pos="4513"/>
        <w:tab w:val="right" w:pos="9026"/>
      </w:tabs>
      <w:spacing w:line="240" w:lineRule="auto"/>
    </w:pPr>
  </w:style>
  <w:style w:type="character" w:customStyle="1" w:styleId="HeaderChar">
    <w:name w:val="Header Char"/>
    <w:basedOn w:val="DefaultParagraphFont"/>
    <w:link w:val="Header"/>
    <w:uiPriority w:val="99"/>
    <w:rsid w:val="002F1FE0"/>
  </w:style>
  <w:style w:type="paragraph" w:styleId="Footer">
    <w:name w:val="footer"/>
    <w:basedOn w:val="Normal"/>
    <w:link w:val="FooterChar"/>
    <w:uiPriority w:val="99"/>
    <w:unhideWhenUsed/>
    <w:rsid w:val="002F1FE0"/>
    <w:pPr>
      <w:tabs>
        <w:tab w:val="center" w:pos="4513"/>
        <w:tab w:val="right" w:pos="9026"/>
      </w:tabs>
      <w:spacing w:line="240" w:lineRule="auto"/>
    </w:pPr>
  </w:style>
  <w:style w:type="character" w:customStyle="1" w:styleId="FooterChar">
    <w:name w:val="Footer Char"/>
    <w:basedOn w:val="DefaultParagraphFont"/>
    <w:link w:val="Footer"/>
    <w:uiPriority w:val="99"/>
    <w:rsid w:val="002F1FE0"/>
  </w:style>
  <w:style w:type="paragraph" w:styleId="BalloonText">
    <w:name w:val="Balloon Text"/>
    <w:basedOn w:val="Normal"/>
    <w:link w:val="BalloonTextChar"/>
    <w:uiPriority w:val="99"/>
    <w:semiHidden/>
    <w:unhideWhenUsed/>
    <w:rsid w:val="003B16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628"/>
    <w:rPr>
      <w:rFonts w:ascii="Segoe UI" w:hAnsi="Segoe UI" w:cs="Segoe UI"/>
      <w:sz w:val="18"/>
      <w:szCs w:val="18"/>
    </w:rPr>
  </w:style>
  <w:style w:type="table" w:styleId="TableGrid">
    <w:name w:val="Table Grid"/>
    <w:basedOn w:val="TableNormal"/>
    <w:uiPriority w:val="39"/>
    <w:rsid w:val="00781960"/>
    <w:pPr>
      <w:spacing w:line="240" w:lineRule="auto"/>
    </w:pPr>
    <w:rPr>
      <w:rFonts w:ascii="Times New Roman" w:eastAsia="Times New Roman" w:hAnsi="Times New Roman" w:cs="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5DD9"/>
    <w:rPr>
      <w:color w:val="605E5C"/>
      <w:shd w:val="clear" w:color="auto" w:fill="E1DFDD"/>
    </w:rPr>
  </w:style>
  <w:style w:type="paragraph" w:styleId="NormalWeb">
    <w:name w:val="Normal (Web)"/>
    <w:basedOn w:val="Normal"/>
    <w:uiPriority w:val="99"/>
    <w:semiHidden/>
    <w:unhideWhenUsed/>
    <w:rsid w:val="00604F3A"/>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FootnoteReference">
    <w:name w:val="footnote reference"/>
    <w:uiPriority w:val="99"/>
    <w:rsid w:val="004E359C"/>
    <w:rPr>
      <w:vertAlign w:val="superscript"/>
    </w:rPr>
  </w:style>
  <w:style w:type="paragraph" w:styleId="FootnoteText">
    <w:name w:val="footnote text"/>
    <w:basedOn w:val="Normal"/>
    <w:link w:val="FootnoteTextChar"/>
    <w:uiPriority w:val="99"/>
    <w:rsid w:val="004E359C"/>
    <w:pPr>
      <w:spacing w:before="60" w:after="60" w:line="200" w:lineRule="atLeast"/>
    </w:pPr>
    <w:rPr>
      <w:rFonts w:eastAsia="MS Gothic"/>
      <w:sz w:val="16"/>
      <w:szCs w:val="16"/>
      <w:lang w:val="en-AU" w:eastAsia="en-US"/>
    </w:rPr>
  </w:style>
  <w:style w:type="character" w:customStyle="1" w:styleId="FootnoteTextChar">
    <w:name w:val="Footnote Text Char"/>
    <w:basedOn w:val="DefaultParagraphFont"/>
    <w:link w:val="FootnoteText"/>
    <w:uiPriority w:val="99"/>
    <w:rsid w:val="004E359C"/>
    <w:rPr>
      <w:rFonts w:eastAsia="MS Gothic"/>
      <w:sz w:val="16"/>
      <w:szCs w:val="16"/>
      <w:lang w:val="en-AU" w:eastAsia="en-US"/>
    </w:rPr>
  </w:style>
  <w:style w:type="paragraph" w:customStyle="1" w:styleId="HTVbody">
    <w:name w:val="HTV body"/>
    <w:qFormat/>
    <w:rsid w:val="004E359C"/>
    <w:pPr>
      <w:spacing w:after="120" w:line="270" w:lineRule="atLeast"/>
    </w:pPr>
    <w:rPr>
      <w:rFonts w:eastAsia="MS Mincho" w:cs="Times New Roman"/>
      <w:sz w:val="19"/>
      <w:szCs w:val="24"/>
      <w:lang w:val="en-AU" w:eastAsia="en-US"/>
    </w:rPr>
  </w:style>
  <w:style w:type="paragraph" w:customStyle="1" w:styleId="HTVintropara">
    <w:name w:val="HTV intro para"/>
    <w:qFormat/>
    <w:rsid w:val="004E359C"/>
    <w:pPr>
      <w:spacing w:after="120" w:line="280" w:lineRule="atLeast"/>
    </w:pPr>
    <w:rPr>
      <w:rFonts w:eastAsia="Cambria" w:cs="Times New Roman"/>
      <w:b/>
      <w:color w:val="00AEEF"/>
      <w:sz w:val="23"/>
      <w:szCs w:val="24"/>
      <w:lang w:val="en-AU" w:eastAsia="en-US"/>
    </w:rPr>
  </w:style>
  <w:style w:type="paragraph" w:customStyle="1" w:styleId="APbullet1">
    <w:name w:val="AP bullet 1"/>
    <w:basedOn w:val="Normal"/>
    <w:qFormat/>
    <w:rsid w:val="00C86025"/>
    <w:pPr>
      <w:numPr>
        <w:numId w:val="21"/>
      </w:numPr>
      <w:spacing w:after="40" w:line="270" w:lineRule="atLeast"/>
    </w:pPr>
    <w:rPr>
      <w:rFonts w:eastAsia="Times" w:cs="Times New Roman"/>
      <w:sz w:val="20"/>
      <w:szCs w:val="20"/>
      <w:lang w:val="en-AU" w:eastAsia="en-US"/>
    </w:rPr>
  </w:style>
  <w:style w:type="paragraph" w:customStyle="1" w:styleId="APbullet2">
    <w:name w:val="AP bullet 2"/>
    <w:basedOn w:val="Normal"/>
    <w:uiPriority w:val="2"/>
    <w:qFormat/>
    <w:rsid w:val="00C86025"/>
    <w:pPr>
      <w:numPr>
        <w:ilvl w:val="1"/>
        <w:numId w:val="21"/>
      </w:numPr>
      <w:spacing w:after="40" w:line="270" w:lineRule="atLeast"/>
    </w:pPr>
    <w:rPr>
      <w:rFonts w:eastAsia="Times" w:cs="Times New Roman"/>
      <w:sz w:val="20"/>
      <w:szCs w:val="20"/>
      <w:lang w:val="en-AU" w:eastAsia="en-US"/>
    </w:rPr>
  </w:style>
  <w:style w:type="numbering" w:customStyle="1" w:styleId="ZZBullets">
    <w:name w:val="ZZ Bullets"/>
    <w:rsid w:val="00C86025"/>
    <w:pPr>
      <w:numPr>
        <w:numId w:val="23"/>
      </w:numPr>
    </w:pPr>
  </w:style>
  <w:style w:type="paragraph" w:customStyle="1" w:styleId="Default">
    <w:name w:val="Default"/>
    <w:rsid w:val="0019779B"/>
    <w:pPr>
      <w:autoSpaceDE w:val="0"/>
      <w:autoSpaceDN w:val="0"/>
      <w:adjustRightInd w:val="0"/>
      <w:spacing w:line="240" w:lineRule="auto"/>
    </w:pPr>
    <w:rPr>
      <w:rFonts w:ascii="Century Gothic" w:hAnsi="Century Gothic" w:cs="Century Gothic"/>
      <w:color w:val="000000"/>
      <w:sz w:val="24"/>
      <w:szCs w:val="24"/>
      <w:lang w:val="en-AU"/>
    </w:rPr>
  </w:style>
  <w:style w:type="character" w:styleId="FollowedHyperlink">
    <w:name w:val="FollowedHyperlink"/>
    <w:basedOn w:val="DefaultParagraphFont"/>
    <w:uiPriority w:val="99"/>
    <w:semiHidden/>
    <w:unhideWhenUsed/>
    <w:rsid w:val="005D6F0E"/>
    <w:rPr>
      <w:color w:val="800080" w:themeColor="followedHyperlink"/>
      <w:u w:val="single"/>
    </w:rPr>
  </w:style>
  <w:style w:type="character" w:styleId="Emphasis">
    <w:name w:val="Emphasis"/>
    <w:basedOn w:val="DefaultParagraphFont"/>
    <w:uiPriority w:val="20"/>
    <w:qFormat/>
    <w:rsid w:val="0040034A"/>
    <w:rPr>
      <w:i/>
      <w:iCs/>
    </w:rPr>
  </w:style>
  <w:style w:type="paragraph" w:styleId="Revision">
    <w:name w:val="Revision"/>
    <w:hidden/>
    <w:uiPriority w:val="99"/>
    <w:semiHidden/>
    <w:rsid w:val="002A786D"/>
    <w:pPr>
      <w:spacing w:line="240" w:lineRule="auto"/>
    </w:pPr>
  </w:style>
  <w:style w:type="character" w:customStyle="1" w:styleId="cf01">
    <w:name w:val="cf01"/>
    <w:basedOn w:val="DefaultParagraphFont"/>
    <w:rsid w:val="002A78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689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kidseatwell.health.vic.gov.au/" TargetMode="External"/><Relationship Id="rId18" Type="http://schemas.openxmlformats.org/officeDocument/2006/relationships/hyperlink" Target="http://www5.austlii.edu.au/au/legis/vic/consol_act/eatra2006273/s2.3.5.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chievementprogram.health.vic.gov.au/education/schools" TargetMode="External"/><Relationship Id="rId17" Type="http://schemas.openxmlformats.org/officeDocument/2006/relationships/hyperlink" Target="https://www.adelaide.edu.au/arcpoh/oral-health-promotion/resources/national-consensus-workshop/" TargetMode="External"/><Relationship Id="rId2" Type="http://schemas.openxmlformats.org/officeDocument/2006/relationships/customXml" Target="../customXml/item2.xml"/><Relationship Id="rId16" Type="http://schemas.openxmlformats.org/officeDocument/2006/relationships/hyperlink" Target="https://www.education.vic.gov.au/Documents/school/principals/management/gfyl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ucation.vic.gov.au/Documents/school/principals/management/gfylpolicy.pdf" TargetMode="External"/><Relationship Id="rId10" Type="http://schemas.openxmlformats.org/officeDocument/2006/relationships/endnotes" Target="endnotes.xml"/><Relationship Id="rId19" Type="http://schemas.openxmlformats.org/officeDocument/2006/relationships/hyperlink" Target="https://www2.health.vic.gov.au/public-health/food-safety/food-safety-laws-local-government-and-auditors/food-safety-laws-and-regulations/food-act-198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eas.health.vic.gov.au/schools/menu-product-and-recipe-assessment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1.health.gov.au/internet/main/publishing.nsf/Content/phd-early-childhood-nutrition-resources" TargetMode="External"/><Relationship Id="rId3" Type="http://schemas.openxmlformats.org/officeDocument/2006/relationships/hyperlink" Target="https://eatforum.org/eat-lancet-commission/" TargetMode="External"/><Relationship Id="rId7" Type="http://schemas.openxmlformats.org/officeDocument/2006/relationships/hyperlink" Target="http://www.eatforhealth.gov.au/" TargetMode="External"/><Relationship Id="rId2" Type="http://schemas.openxmlformats.org/officeDocument/2006/relationships/hyperlink" Target="https://eatforum.org/eat-lancet-commission/" TargetMode="External"/><Relationship Id="rId1" Type="http://schemas.openxmlformats.org/officeDocument/2006/relationships/hyperlink" Target="https://www.achievementprogram.health.vic.gov.au/education/schools" TargetMode="External"/><Relationship Id="rId6" Type="http://schemas.openxmlformats.org/officeDocument/2006/relationships/hyperlink" Target="https://www.nutritionaustralia.org/" TargetMode="External"/><Relationship Id="rId5" Type="http://schemas.openxmlformats.org/officeDocument/2006/relationships/hyperlink" Target="https://www.heartandstroke.ca/articles/what-is-ultra-processed-food" TargetMode="External"/><Relationship Id="rId10" Type="http://schemas.openxmlformats.org/officeDocument/2006/relationships/hyperlink" Target="http://www.coaghealthcouncil.gov.au/Publications/Reports/ArtMID/514/ArticleID/81" TargetMode="External"/><Relationship Id="rId4" Type="http://schemas.openxmlformats.org/officeDocument/2006/relationships/hyperlink" Target="http://www.eatforhealth.gov.au/" TargetMode="External"/><Relationship Id="rId9" Type="http://schemas.openxmlformats.org/officeDocument/2006/relationships/hyperlink" Target="https://blogs.deakin.edu.au/apfnc/wp-content/uploads/sites/119/2015/06/Vidgen_2014_food-literacy-Appet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950AFD3B7EED45B47E2493EE0FCC5F" ma:contentTypeVersion="10" ma:contentTypeDescription="Create a new document." ma:contentTypeScope="" ma:versionID="bb657cdf0292c2a69c51371ebacae1a6">
  <xsd:schema xmlns:xsd="http://www.w3.org/2001/XMLSchema" xmlns:xs="http://www.w3.org/2001/XMLSchema" xmlns:p="http://schemas.microsoft.com/office/2006/metadata/properties" xmlns:ns3="b224c62f-dad6-49bc-851d-2551ba373199" targetNamespace="http://schemas.microsoft.com/office/2006/metadata/properties" ma:root="true" ma:fieldsID="f39bd00ff24590aad57f322f0ff1404d" ns3:_="">
    <xsd:import namespace="b224c62f-dad6-49bc-851d-2551ba37319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4c62f-dad6-49bc-851d-2551ba373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B44B4-0839-474E-94AF-CBF0EA44AF44}">
  <ds:schemaRefs>
    <ds:schemaRef ds:uri="http://schemas.microsoft.com/sharepoint/v3/contenttype/forms"/>
  </ds:schemaRefs>
</ds:datastoreItem>
</file>

<file path=customXml/itemProps2.xml><?xml version="1.0" encoding="utf-8"?>
<ds:datastoreItem xmlns:ds="http://schemas.openxmlformats.org/officeDocument/2006/customXml" ds:itemID="{01DD1E43-AB7F-4660-96BE-A9C6E8A53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4c62f-dad6-49bc-851d-2551ba373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53637-0846-48CB-90E6-3DA75C104CF8}">
  <ds:schemaRefs>
    <ds:schemaRef ds:uri="http://schemas.openxmlformats.org/officeDocument/2006/bibliography"/>
  </ds:schemaRefs>
</ds:datastoreItem>
</file>

<file path=customXml/itemProps4.xml><?xml version="1.0" encoding="utf-8"?>
<ds:datastoreItem xmlns:ds="http://schemas.openxmlformats.org/officeDocument/2006/customXml" ds:itemID="{1A549CEC-D223-4BF9-BC25-43348FDB27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McKibbin</dc:creator>
  <cp:lastModifiedBy>Georgia Despotellis</cp:lastModifiedBy>
  <cp:revision>2</cp:revision>
  <dcterms:created xsi:type="dcterms:W3CDTF">2023-07-24T11:51:00Z</dcterms:created>
  <dcterms:modified xsi:type="dcterms:W3CDTF">2023-07-24T11:51:00Z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0x0101007C950AFD3B7EED45B47E2493EE0FCC5F</vt:lpwstr>
  </property>
</Properties>
</file>